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00C10">
      <w:pPr>
        <w:spacing w:line="7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404F7F75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outlineLvl w:val="2"/>
        <w:rPr>
          <w:rFonts w:ascii="黑体" w:hAnsi="黑体" w:eastAsia="黑体" w:cs="黑体"/>
          <w:snapToGrid w:val="0"/>
          <w:color w:val="000000"/>
          <w:spacing w:val="-1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spacing w:val="-1"/>
          <w:kern w:val="0"/>
          <w:sz w:val="32"/>
          <w:szCs w:val="32"/>
        </w:rPr>
        <w:t>附件2</w:t>
      </w:r>
    </w:p>
    <w:p w14:paraId="44D98AF6">
      <w:pPr>
        <w:widowControl/>
        <w:kinsoku w:val="0"/>
        <w:autoSpaceDE w:val="0"/>
        <w:autoSpaceDN w:val="0"/>
        <w:adjustRightInd w:val="0"/>
        <w:snapToGrid w:val="0"/>
        <w:spacing w:line="760" w:lineRule="exact"/>
        <w:jc w:val="center"/>
        <w:textAlignment w:val="baseline"/>
        <w:rPr>
          <w:rFonts w:ascii="方正小标宋简体" w:hAnsi="方正小标宋简体" w:eastAsia="方正小标宋简体" w:cs="方正小标宋简体"/>
          <w:snapToGrid w:val="0"/>
          <w:color w:val="000000"/>
          <w:spacing w:val="2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23"/>
          <w:kern w:val="0"/>
          <w:sz w:val="44"/>
          <w:szCs w:val="44"/>
        </w:rPr>
        <w:t>“读懂中国”活动作品评审参考标准</w:t>
      </w:r>
      <w:bookmarkStart w:id="1" w:name="_GoBack"/>
      <w:bookmarkEnd w:id="1"/>
    </w:p>
    <w:p w14:paraId="68B4E8F0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ascii="黑体" w:hAnsi="黑体" w:eastAsia="黑体" w:cs="黑体"/>
          <w:snapToGrid w:val="0"/>
          <w:color w:val="000000"/>
          <w:spacing w:val="-1"/>
          <w:kern w:val="0"/>
          <w:sz w:val="32"/>
          <w:szCs w:val="32"/>
        </w:rPr>
      </w:pPr>
    </w:p>
    <w:p w14:paraId="7F593CC4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ascii="黑体" w:hAnsi="黑体" w:eastAsia="黑体" w:cs="黑体"/>
          <w:snapToGrid w:val="0"/>
          <w:color w:val="000000"/>
          <w:spacing w:val="-1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spacing w:val="-1"/>
          <w:kern w:val="0"/>
          <w:sz w:val="32"/>
          <w:szCs w:val="32"/>
        </w:rPr>
        <w:t>一、征文评审标准（总分100分）</w:t>
      </w:r>
    </w:p>
    <w:tbl>
      <w:tblPr>
        <w:tblStyle w:val="15"/>
        <w:tblW w:w="8277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1"/>
        <w:gridCol w:w="5066"/>
      </w:tblGrid>
      <w:tr w14:paraId="70CA0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2" w:hRule="atLeast"/>
        </w:trPr>
        <w:tc>
          <w:tcPr>
            <w:tcW w:w="3211" w:type="dxa"/>
          </w:tcPr>
          <w:p w14:paraId="1D7D15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  <w:p w14:paraId="62AFAC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  <w:p w14:paraId="087181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</w:rPr>
              <w:t>紧扣主题、立意明确</w:t>
            </w:r>
          </w:p>
          <w:p w14:paraId="057B43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4"/>
                <w:kern w:val="0"/>
                <w:sz w:val="32"/>
                <w:szCs w:val="32"/>
              </w:rPr>
              <w:t>（30分）</w:t>
            </w:r>
          </w:p>
        </w:tc>
        <w:tc>
          <w:tcPr>
            <w:tcW w:w="5066" w:type="dxa"/>
          </w:tcPr>
          <w:p w14:paraId="64D23F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记录、展示“五老”</w:t>
            </w:r>
            <w:bookmarkStart w:id="0" w:name="OLE_LINK3"/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在新中国成立初期百废待兴时扎根岗位、攻坚克难，改革开放浪潮中勇立潮头、奋勇争先，强国建设进程中实干笃行、薪火相传的感人事迹和人生体验，以及对伟大长征精神的深刻感悟，对青年学生勇担时代使命、投身强国建设的殷切嘱托。</w:t>
            </w:r>
            <w:bookmarkEnd w:id="0"/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eastAsia="en-US"/>
              </w:rPr>
              <w:t>若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"/>
                <w:kern w:val="0"/>
                <w:sz w:val="32"/>
                <w:szCs w:val="32"/>
                <w:lang w:eastAsia="en-US"/>
              </w:rPr>
              <w:t>偏题酌情扣分。</w:t>
            </w:r>
          </w:p>
        </w:tc>
      </w:tr>
      <w:tr w14:paraId="201F9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</w:trPr>
        <w:tc>
          <w:tcPr>
            <w:tcW w:w="3211" w:type="dxa"/>
          </w:tcPr>
          <w:p w14:paraId="1213DB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  <w:p w14:paraId="1ECD57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  <w:p w14:paraId="46AA20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32"/>
                <w:szCs w:val="32"/>
              </w:rPr>
              <w:t>内容详实、表述得当</w:t>
            </w:r>
          </w:p>
          <w:p w14:paraId="07AEC5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4"/>
                <w:kern w:val="0"/>
                <w:sz w:val="32"/>
                <w:szCs w:val="32"/>
              </w:rPr>
              <w:t>（20分）</w:t>
            </w:r>
          </w:p>
        </w:tc>
        <w:tc>
          <w:tcPr>
            <w:tcW w:w="5066" w:type="dxa"/>
          </w:tcPr>
          <w:p w14:paraId="56D0B7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firstLine="9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突出“五老”人物事迹，强调故事性和细节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"/>
                <w:kern w:val="0"/>
                <w:sz w:val="32"/>
                <w:szCs w:val="32"/>
              </w:rPr>
              <w:t>描述，以“五老”的个体经历反映出中国特色社会主义教育事业取得的伟大成就，切忌写成“五老”个人简历。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"/>
                <w:kern w:val="0"/>
                <w:sz w:val="32"/>
                <w:szCs w:val="32"/>
                <w:lang w:eastAsia="en-US"/>
              </w:rPr>
              <w:t>根据文章实际情况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eastAsia="en-US"/>
              </w:rPr>
              <w:t>酌情赋分。</w:t>
            </w:r>
          </w:p>
        </w:tc>
      </w:tr>
      <w:tr w14:paraId="3FF2D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3211" w:type="dxa"/>
          </w:tcPr>
          <w:p w14:paraId="7729A0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"/>
                <w:kern w:val="0"/>
                <w:sz w:val="32"/>
                <w:szCs w:val="32"/>
              </w:rPr>
              <w:t>语言优美、文笔流畅</w:t>
            </w:r>
          </w:p>
          <w:p w14:paraId="12F44F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4"/>
                <w:kern w:val="0"/>
                <w:sz w:val="32"/>
                <w:szCs w:val="32"/>
              </w:rPr>
              <w:t>（20分）</w:t>
            </w:r>
          </w:p>
        </w:tc>
        <w:tc>
          <w:tcPr>
            <w:tcW w:w="5066" w:type="dxa"/>
          </w:tcPr>
          <w:p w14:paraId="41A05B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</w:rPr>
              <w:t>根据文章实际情况酌情赋分。</w:t>
            </w:r>
          </w:p>
        </w:tc>
      </w:tr>
      <w:tr w14:paraId="774E0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3211" w:type="dxa"/>
          </w:tcPr>
          <w:p w14:paraId="61B66D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"/>
                <w:kern w:val="0"/>
                <w:sz w:val="32"/>
                <w:szCs w:val="32"/>
              </w:rPr>
              <w:t>情感真实、表达细腻</w:t>
            </w:r>
          </w:p>
          <w:p w14:paraId="2E8336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4"/>
                <w:kern w:val="0"/>
                <w:sz w:val="32"/>
                <w:szCs w:val="32"/>
              </w:rPr>
              <w:t>（20分）</w:t>
            </w:r>
          </w:p>
        </w:tc>
        <w:tc>
          <w:tcPr>
            <w:tcW w:w="5066" w:type="dxa"/>
          </w:tcPr>
          <w:p w14:paraId="7AD5CE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</w:rPr>
              <w:t>根据文章实际情况酌情赋分。</w:t>
            </w:r>
          </w:p>
        </w:tc>
      </w:tr>
      <w:tr w14:paraId="1B2C8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3" w:hRule="atLeast"/>
        </w:trPr>
        <w:tc>
          <w:tcPr>
            <w:tcW w:w="3211" w:type="dxa"/>
          </w:tcPr>
          <w:p w14:paraId="08C01D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  <w:p w14:paraId="4D3230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</w:rPr>
              <w:t>文体合规、用字规范</w:t>
            </w:r>
          </w:p>
          <w:p w14:paraId="19700B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4"/>
                <w:kern w:val="0"/>
                <w:sz w:val="32"/>
                <w:szCs w:val="32"/>
              </w:rPr>
              <w:t>（10分）</w:t>
            </w:r>
          </w:p>
        </w:tc>
        <w:tc>
          <w:tcPr>
            <w:tcW w:w="5066" w:type="dxa"/>
          </w:tcPr>
          <w:p w14:paraId="7A654C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firstLine="9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文体为记叙文，字数不超过2000字。文体有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32"/>
                <w:szCs w:val="32"/>
              </w:rPr>
              <w:t>误或字数超过2400字即此项为0分，字数在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32"/>
                <w:szCs w:val="32"/>
              </w:rPr>
              <w:t>2001-2400字之间或出现不规范用字的酌情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</w:rPr>
              <w:t>扣分。</w:t>
            </w:r>
          </w:p>
        </w:tc>
      </w:tr>
    </w:tbl>
    <w:p w14:paraId="163C5119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outlineLvl w:val="2"/>
        <w:rPr>
          <w:rFonts w:ascii="黑体" w:hAnsi="黑体" w:eastAsia="黑体" w:cs="黑体"/>
          <w:snapToGrid w:val="0"/>
          <w:color w:val="000000"/>
          <w:spacing w:val="-1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spacing w:val="-1"/>
          <w:kern w:val="0"/>
          <w:sz w:val="32"/>
          <w:szCs w:val="32"/>
        </w:rPr>
        <w:t>二、微视频评审标准（总分100分）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6336"/>
      </w:tblGrid>
      <w:tr w14:paraId="04217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2FFF1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32"/>
                <w:szCs w:val="32"/>
                <w:lang w:eastAsia="en-US"/>
              </w:rPr>
              <w:t>主题表达</w:t>
            </w:r>
          </w:p>
          <w:p w14:paraId="4FEAC3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baseline"/>
              <w:outlineLvl w:val="2"/>
              <w:rPr>
                <w:rFonts w:ascii="黑体" w:hAnsi="黑体" w:eastAsia="仿宋_GB2312" w:cs="黑体"/>
                <w:snapToGrid w:val="0"/>
                <w:color w:val="000000"/>
                <w:spacing w:val="-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4"/>
                <w:kern w:val="0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4"/>
                <w:kern w:val="0"/>
                <w:sz w:val="32"/>
                <w:szCs w:val="32"/>
                <w:lang w:eastAsia="en-US"/>
              </w:rPr>
              <w:t>30分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4"/>
                <w:kern w:val="0"/>
                <w:sz w:val="32"/>
                <w:szCs w:val="32"/>
              </w:rPr>
              <w:t>）</w:t>
            </w:r>
          </w:p>
        </w:tc>
        <w:tc>
          <w:tcPr>
            <w:tcW w:w="6336" w:type="dxa"/>
          </w:tcPr>
          <w:p w14:paraId="7C4F2A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黑体" w:hAnsi="黑体" w:eastAsia="仿宋_GB2312" w:cs="黑体"/>
                <w:snapToGrid w:val="0"/>
                <w:color w:val="000000"/>
                <w:spacing w:val="-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记录、展示“五老”在新中国成立初期百废待兴时扎根岗位、攻坚克难，改革开放浪潮中勇立潮头、奋勇争先，强国建设进程中实干笃行、薪火相传的感人事迹和人生体验，以及对伟大长征精神的深刻感悟，对青年学生勇担时代使命、投身强国建设的殷切嘱托。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"/>
                <w:kern w:val="0"/>
                <w:sz w:val="32"/>
                <w:szCs w:val="32"/>
              </w:rPr>
              <w:t>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32"/>
                <w:szCs w:val="32"/>
              </w:rPr>
              <w:t>出“五老”人物事迹，强调故事性和细节描述，以“五老”的个体经历反映出中国特色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32"/>
                <w:szCs w:val="32"/>
              </w:rPr>
              <w:t>社会主义教育事业取得的伟大成就。切忌拍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32"/>
                <w:szCs w:val="32"/>
              </w:rPr>
              <w:t>摄成“五老”个人简历。根据片子实际情况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</w:rPr>
              <w:t>酌情赋分。</w:t>
            </w:r>
          </w:p>
        </w:tc>
      </w:tr>
      <w:tr w14:paraId="20981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1238CA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eastAsia="en-US"/>
              </w:rPr>
              <w:t>结构设置</w:t>
            </w:r>
          </w:p>
          <w:p w14:paraId="27B152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baseline"/>
              <w:outlineLvl w:val="2"/>
              <w:rPr>
                <w:rFonts w:ascii="黑体" w:hAnsi="黑体" w:eastAsia="仿宋_GB2312" w:cs="黑体"/>
                <w:snapToGrid w:val="0"/>
                <w:color w:val="000000"/>
                <w:spacing w:val="-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3"/>
                <w:kern w:val="0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3"/>
                <w:kern w:val="0"/>
                <w:sz w:val="32"/>
                <w:szCs w:val="32"/>
                <w:lang w:eastAsia="en-US"/>
              </w:rPr>
              <w:t>20分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3"/>
                <w:kern w:val="0"/>
                <w:sz w:val="32"/>
                <w:szCs w:val="32"/>
              </w:rPr>
              <w:t>）</w:t>
            </w:r>
          </w:p>
        </w:tc>
        <w:tc>
          <w:tcPr>
            <w:tcW w:w="6336" w:type="dxa"/>
          </w:tcPr>
          <w:p w14:paraId="58B7DC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baseline"/>
              <w:outlineLvl w:val="2"/>
              <w:rPr>
                <w:rFonts w:ascii="黑体" w:hAnsi="黑体" w:eastAsia="黑体" w:cs="黑体"/>
                <w:snapToGrid w:val="0"/>
                <w:color w:val="000000"/>
                <w:spacing w:val="-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</w:rPr>
              <w:t>结构明确、逻辑清晰，悬念设置巧妙且自然，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32"/>
                <w:szCs w:val="32"/>
              </w:rPr>
              <w:t>能够突出主题、吸引观众。根据片子实际情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</w:rPr>
              <w:t>况酌情赋分。</w:t>
            </w:r>
          </w:p>
        </w:tc>
      </w:tr>
      <w:tr w14:paraId="6AE36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061CFD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eastAsia="en-US"/>
              </w:rPr>
              <w:t>细节和节奏</w:t>
            </w:r>
          </w:p>
          <w:p w14:paraId="2139BF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baseline"/>
              <w:outlineLvl w:val="2"/>
              <w:rPr>
                <w:rFonts w:ascii="黑体" w:hAnsi="黑体" w:eastAsia="仿宋_GB2312" w:cs="黑体"/>
                <w:snapToGrid w:val="0"/>
                <w:color w:val="000000"/>
                <w:spacing w:val="-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3"/>
                <w:kern w:val="0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3"/>
                <w:kern w:val="0"/>
                <w:sz w:val="32"/>
                <w:szCs w:val="32"/>
                <w:lang w:eastAsia="en-US"/>
              </w:rPr>
              <w:t>20分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3"/>
                <w:kern w:val="0"/>
                <w:sz w:val="32"/>
                <w:szCs w:val="32"/>
              </w:rPr>
              <w:t>）</w:t>
            </w:r>
          </w:p>
        </w:tc>
        <w:tc>
          <w:tcPr>
            <w:tcW w:w="6336" w:type="dxa"/>
          </w:tcPr>
          <w:p w14:paraId="3F84F6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baseline"/>
              <w:outlineLvl w:val="2"/>
              <w:rPr>
                <w:rFonts w:ascii="黑体" w:hAnsi="黑体" w:eastAsia="黑体" w:cs="黑体"/>
                <w:snapToGrid w:val="0"/>
                <w:color w:val="000000"/>
                <w:spacing w:val="-1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</w:rPr>
              <w:t>把握好叙事节奏和剪辑节奏的和谐统一，达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32"/>
                <w:szCs w:val="32"/>
              </w:rPr>
              <w:t>到疏密相间、张弛有度、跌宕起伏。细节运用真实生动，有较强的艺术感染力；画面构图、特效、字幕、片头片尾、暗转等包装处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</w:rPr>
              <w:t>理得当。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eastAsia="en-US"/>
              </w:rPr>
              <w:t>根据片子实际情况酌情赋分。</w:t>
            </w:r>
          </w:p>
        </w:tc>
      </w:tr>
      <w:tr w14:paraId="75F6C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31DAE7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eastAsia="en-US"/>
              </w:rPr>
              <w:t>电视语言表达</w:t>
            </w:r>
          </w:p>
          <w:p w14:paraId="35F6F0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baseline"/>
              <w:outlineLvl w:val="2"/>
              <w:rPr>
                <w:rFonts w:ascii="黑体" w:hAnsi="黑体" w:eastAsia="仿宋_GB2312" w:cs="黑体"/>
                <w:snapToGrid w:val="0"/>
                <w:color w:val="000000"/>
                <w:spacing w:val="-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3"/>
                <w:kern w:val="0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3"/>
                <w:kern w:val="0"/>
                <w:sz w:val="32"/>
                <w:szCs w:val="32"/>
                <w:lang w:eastAsia="en-US"/>
              </w:rPr>
              <w:t>20分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3"/>
                <w:kern w:val="0"/>
                <w:sz w:val="32"/>
                <w:szCs w:val="32"/>
              </w:rPr>
              <w:t>）</w:t>
            </w:r>
          </w:p>
        </w:tc>
        <w:tc>
          <w:tcPr>
            <w:tcW w:w="6336" w:type="dxa"/>
          </w:tcPr>
          <w:p w14:paraId="5D6E92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baseline"/>
              <w:outlineLvl w:val="2"/>
              <w:rPr>
                <w:rFonts w:ascii="黑体" w:hAnsi="黑体" w:eastAsia="黑体" w:cs="黑体"/>
                <w:snapToGrid w:val="0"/>
                <w:color w:val="000000"/>
                <w:spacing w:val="-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画面语言生动且富有特色，能够吸引观众眼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32"/>
                <w:szCs w:val="32"/>
              </w:rPr>
              <w:t>球、表达出拍摄主体的内在情绪、心理及表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32"/>
                <w:szCs w:val="32"/>
              </w:rPr>
              <w:t>现行为等；解说语言为画面服务，且起到补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32"/>
                <w:szCs w:val="32"/>
              </w:rPr>
              <w:t>充和画龙点睛作用；现场语言如采访等，出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32"/>
                <w:szCs w:val="32"/>
              </w:rPr>
              <w:t>现时间合适且有对主题阐释等作用，能够很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</w:rPr>
              <w:t>好地渲染影片；字幕语言能够调动观众兴趣，令人印象深刻。根据片子实际情况酌情赋分，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32"/>
                <w:szCs w:val="32"/>
              </w:rPr>
              <w:t>电视语言单一，无法讲清事件，无法使观众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32"/>
                <w:szCs w:val="32"/>
              </w:rPr>
              <w:t>明白要表达的内容和思想感情的酌情扣分。</w:t>
            </w:r>
          </w:p>
        </w:tc>
      </w:tr>
      <w:tr w14:paraId="0F32C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18161D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eastAsia="en-US"/>
              </w:rPr>
              <w:t>剪辑和时长</w:t>
            </w:r>
          </w:p>
          <w:p w14:paraId="23787F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baseline"/>
              <w:outlineLvl w:val="2"/>
              <w:rPr>
                <w:rFonts w:ascii="黑体" w:hAnsi="黑体" w:eastAsia="仿宋_GB2312" w:cs="黑体"/>
                <w:snapToGrid w:val="0"/>
                <w:color w:val="000000"/>
                <w:spacing w:val="-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3"/>
                <w:kern w:val="0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3"/>
                <w:kern w:val="0"/>
                <w:sz w:val="32"/>
                <w:szCs w:val="32"/>
                <w:lang w:eastAsia="en-US"/>
              </w:rPr>
              <w:t>10分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3"/>
                <w:kern w:val="0"/>
                <w:sz w:val="32"/>
                <w:szCs w:val="32"/>
              </w:rPr>
              <w:t>）</w:t>
            </w:r>
          </w:p>
        </w:tc>
        <w:tc>
          <w:tcPr>
            <w:tcW w:w="6336" w:type="dxa"/>
          </w:tcPr>
          <w:p w14:paraId="617CE3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spacing w:val="-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提前设计好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影片结构；镜头衔接自然流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</w:rPr>
              <w:t>畅，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/>
              </w:rPr>
              <w:t>起承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</w:rPr>
              <w:t>转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/>
              </w:rPr>
              <w:t>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</w:rPr>
              <w:t>符合整体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/>
              </w:rPr>
              <w:t>结构设计和剪辑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</w:rPr>
              <w:t>节奏，有自己的风格特色，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思维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表达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独树一格。根据片子实际情况酌情赋分，如出现跳帧、黑屏等重大技术失误，或时长超过6分钟、不足4分钟的，该项即为0分。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</w:rPr>
              <w:t>根据片子实际情况酌情赋分。</w:t>
            </w:r>
          </w:p>
        </w:tc>
      </w:tr>
    </w:tbl>
    <w:p w14:paraId="29AB7319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outlineLvl w:val="2"/>
        <w:rPr>
          <w:rFonts w:ascii="黑体" w:hAnsi="黑体" w:eastAsia="黑体" w:cs="黑体"/>
          <w:snapToGrid w:val="0"/>
          <w:color w:val="000000"/>
          <w:spacing w:val="-1"/>
          <w:kern w:val="0"/>
          <w:sz w:val="32"/>
          <w:szCs w:val="32"/>
        </w:rPr>
      </w:pPr>
    </w:p>
    <w:p w14:paraId="316B550F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outlineLvl w:val="2"/>
        <w:rPr>
          <w:rFonts w:ascii="黑体" w:hAnsi="黑体" w:eastAsia="黑体" w:cs="黑体"/>
          <w:snapToGrid w:val="0"/>
          <w:color w:val="000000"/>
          <w:spacing w:val="-1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spacing w:val="-1"/>
          <w:kern w:val="0"/>
          <w:sz w:val="32"/>
          <w:szCs w:val="32"/>
        </w:rPr>
        <w:t>三、舞台剧评审标准（总分100分）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6723"/>
      </w:tblGrid>
      <w:tr w14:paraId="71810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9" w:type="dxa"/>
          </w:tcPr>
          <w:p w14:paraId="7DAAE5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baseline"/>
              <w:outlineLvl w:val="2"/>
              <w:rPr>
                <w:rFonts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</w:rPr>
              <w:t>主题表达（30分）</w:t>
            </w:r>
          </w:p>
        </w:tc>
        <w:tc>
          <w:tcPr>
            <w:tcW w:w="6723" w:type="dxa"/>
          </w:tcPr>
          <w:p w14:paraId="20261F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baseline"/>
              <w:outlineLvl w:val="2"/>
              <w:rPr>
                <w:rFonts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</w:rPr>
              <w:t>记录、展示“五老”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在新中国成立初期百废待兴时扎根岗位、攻坚克难，改革开放浪潮中勇立潮头、奋勇争先，强国建设进程中实干笃行、薪火相传的感人事迹和人生体验，以及对伟大长征精神的深刻感悟，对青年学生勇担时代使命、投身强国建设的殷切嘱托。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</w:rPr>
              <w:t>主题鲜明，贴近生活，有深度，引起观众共鸣。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eastAsia="en-US"/>
              </w:rPr>
              <w:t>若偏题酌情扣分。</w:t>
            </w:r>
          </w:p>
        </w:tc>
      </w:tr>
      <w:tr w14:paraId="2507A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9" w:type="dxa"/>
          </w:tcPr>
          <w:p w14:paraId="7EFB95DD">
            <w:pPr>
              <w:kinsoku w:val="0"/>
              <w:autoSpaceDE w:val="0"/>
              <w:autoSpaceDN w:val="0"/>
              <w:adjustRightInd w:val="0"/>
              <w:snapToGrid w:val="0"/>
              <w:spacing w:before="20" w:line="219" w:lineRule="auto"/>
              <w:ind w:left="20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eastAsia="en-US"/>
              </w:rPr>
              <w:t>内容设置</w:t>
            </w:r>
          </w:p>
          <w:p w14:paraId="14B12D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baseline"/>
              <w:outlineLvl w:val="2"/>
              <w:rPr>
                <w:rFonts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4"/>
                <w:kern w:val="0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4"/>
                <w:kern w:val="0"/>
                <w:sz w:val="32"/>
                <w:szCs w:val="32"/>
                <w:lang w:eastAsia="en-US"/>
              </w:rPr>
              <w:t>20分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4"/>
                <w:kern w:val="0"/>
                <w:sz w:val="32"/>
                <w:szCs w:val="32"/>
              </w:rPr>
              <w:t>）</w:t>
            </w:r>
          </w:p>
        </w:tc>
        <w:tc>
          <w:tcPr>
            <w:tcW w:w="6723" w:type="dxa"/>
          </w:tcPr>
          <w:p w14:paraId="6C200F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baseline"/>
              <w:outlineLvl w:val="2"/>
              <w:rPr>
                <w:rFonts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</w:rPr>
              <w:t>基于人物事迹，从小点切入，以小见大；剧情编排合理，情节跌宕起伏，矛盾冲突明显；幕与幕之间转换适当。根据剧情设计酌情赋分。</w:t>
            </w:r>
          </w:p>
        </w:tc>
      </w:tr>
      <w:tr w14:paraId="4BE08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9" w:type="dxa"/>
          </w:tcPr>
          <w:p w14:paraId="30CE199C">
            <w:pPr>
              <w:kinsoku w:val="0"/>
              <w:autoSpaceDE w:val="0"/>
              <w:autoSpaceDN w:val="0"/>
              <w:adjustRightInd w:val="0"/>
              <w:snapToGrid w:val="0"/>
              <w:spacing w:before="104" w:line="220" w:lineRule="auto"/>
              <w:ind w:left="20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32"/>
                <w:szCs w:val="32"/>
                <w:lang w:eastAsia="en-US"/>
              </w:rPr>
              <w:t>舞台表演</w:t>
            </w:r>
          </w:p>
          <w:p w14:paraId="6DB938A8">
            <w:pPr>
              <w:kinsoku w:val="0"/>
              <w:autoSpaceDE w:val="0"/>
              <w:autoSpaceDN w:val="0"/>
              <w:adjustRightInd w:val="0"/>
              <w:snapToGrid w:val="0"/>
              <w:spacing w:before="68" w:line="220" w:lineRule="auto"/>
              <w:ind w:left="180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4"/>
                <w:kern w:val="0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4"/>
                <w:kern w:val="0"/>
                <w:sz w:val="32"/>
                <w:szCs w:val="32"/>
                <w:lang w:eastAsia="en-US"/>
              </w:rPr>
              <w:t>20分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4"/>
                <w:kern w:val="0"/>
                <w:sz w:val="32"/>
                <w:szCs w:val="32"/>
              </w:rPr>
              <w:t>）</w:t>
            </w:r>
          </w:p>
        </w:tc>
        <w:tc>
          <w:tcPr>
            <w:tcW w:w="6723" w:type="dxa"/>
          </w:tcPr>
          <w:p w14:paraId="75BF6D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baseline"/>
              <w:outlineLvl w:val="2"/>
              <w:rPr>
                <w:rFonts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</w:rPr>
              <w:t>突出艺术设计与表现力，主题表现清晰，人物性格表现充分，动作得体到位，情感细腻有共鸣，团体合作默契。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eastAsia="en-US"/>
              </w:rPr>
              <w:t>根据表演酌情赋分。</w:t>
            </w:r>
          </w:p>
        </w:tc>
      </w:tr>
      <w:tr w14:paraId="27873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9" w:type="dxa"/>
          </w:tcPr>
          <w:p w14:paraId="7FFA7342">
            <w:pPr>
              <w:kinsoku w:val="0"/>
              <w:autoSpaceDE w:val="0"/>
              <w:autoSpaceDN w:val="0"/>
              <w:adjustRightInd w:val="0"/>
              <w:snapToGrid w:val="0"/>
              <w:spacing w:before="104" w:line="220" w:lineRule="auto"/>
              <w:ind w:left="20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32"/>
                <w:szCs w:val="32"/>
                <w:lang w:eastAsia="en-US"/>
              </w:rPr>
              <w:t>舞台呈现</w:t>
            </w:r>
          </w:p>
          <w:p w14:paraId="46249F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baseline"/>
              <w:outlineLvl w:val="2"/>
              <w:rPr>
                <w:rFonts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4"/>
                <w:kern w:val="0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4"/>
                <w:kern w:val="0"/>
                <w:sz w:val="32"/>
                <w:szCs w:val="32"/>
                <w:lang w:eastAsia="en-US"/>
              </w:rPr>
              <w:t>20分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4"/>
                <w:kern w:val="0"/>
                <w:sz w:val="32"/>
                <w:szCs w:val="32"/>
              </w:rPr>
              <w:t>）</w:t>
            </w:r>
          </w:p>
        </w:tc>
        <w:tc>
          <w:tcPr>
            <w:tcW w:w="6723" w:type="dxa"/>
          </w:tcPr>
          <w:p w14:paraId="0615C8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baseline"/>
              <w:outlineLvl w:val="2"/>
              <w:rPr>
                <w:rFonts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</w:rPr>
              <w:t>服装符合人物身份特点、合体大方，饰物搭配得当，辅助表现人物性格、剧情效果等；场景布置及道具安排准确反映剧目表达内容及环</w:t>
            </w:r>
          </w:p>
          <w:p w14:paraId="0CC974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baseline"/>
              <w:outlineLvl w:val="2"/>
              <w:rPr>
                <w:rFonts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</w:rPr>
              <w:t>境。根据视觉效果酌情赋分。</w:t>
            </w:r>
          </w:p>
        </w:tc>
      </w:tr>
      <w:tr w14:paraId="1A866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9" w:type="dxa"/>
          </w:tcPr>
          <w:p w14:paraId="0904888A">
            <w:pPr>
              <w:kinsoku w:val="0"/>
              <w:autoSpaceDE w:val="0"/>
              <w:autoSpaceDN w:val="0"/>
              <w:adjustRightInd w:val="0"/>
              <w:snapToGrid w:val="0"/>
              <w:spacing w:before="20" w:line="220" w:lineRule="auto"/>
              <w:ind w:left="20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32"/>
                <w:szCs w:val="32"/>
                <w:lang w:eastAsia="en-US"/>
              </w:rPr>
              <w:t>视频录制</w:t>
            </w:r>
          </w:p>
          <w:p w14:paraId="0DF6BF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baseline"/>
              <w:outlineLvl w:val="2"/>
              <w:rPr>
                <w:rFonts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4"/>
                <w:kern w:val="0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4"/>
                <w:kern w:val="0"/>
                <w:sz w:val="32"/>
                <w:szCs w:val="32"/>
                <w:lang w:eastAsia="en-US"/>
              </w:rPr>
              <w:t>10分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4"/>
                <w:kern w:val="0"/>
                <w:sz w:val="32"/>
                <w:szCs w:val="32"/>
              </w:rPr>
              <w:t>）</w:t>
            </w:r>
          </w:p>
        </w:tc>
        <w:tc>
          <w:tcPr>
            <w:tcW w:w="6723" w:type="dxa"/>
          </w:tcPr>
          <w:p w14:paraId="4E25C8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baseline"/>
              <w:outlineLvl w:val="2"/>
              <w:rPr>
                <w:rFonts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</w:rPr>
              <w:t>通过切换台进行多机位录制，有不同景别的搭配（远景、全景、中景、近景、特写）;配戴无线话筒对演员进行收音，且声音清晰；背景音乐符合剧情及气氛需要。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eastAsia="en-US"/>
              </w:rPr>
              <w:t>根据视频呈现酌情赋分。</w:t>
            </w:r>
          </w:p>
        </w:tc>
      </w:tr>
    </w:tbl>
    <w:p w14:paraId="31BBB0E2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outlineLvl w:val="2"/>
        <w:rPr>
          <w:rFonts w:ascii="黑体" w:hAnsi="黑体" w:eastAsia="黑体" w:cs="黑体"/>
          <w:snapToGrid w:val="0"/>
          <w:color w:val="000000"/>
          <w:spacing w:val="-1"/>
          <w:kern w:val="0"/>
          <w:sz w:val="32"/>
          <w:szCs w:val="32"/>
          <w:lang w:eastAsia="en-US"/>
        </w:rPr>
      </w:pPr>
    </w:p>
    <w:p w14:paraId="087D9E5A">
      <w:pPr>
        <w:widowControl/>
        <w:kinsoku w:val="0"/>
        <w:autoSpaceDE w:val="0"/>
        <w:autoSpaceDN w:val="0"/>
        <w:adjustRightInd w:val="0"/>
        <w:snapToGrid w:val="0"/>
        <w:spacing w:line="318" w:lineRule="auto"/>
        <w:jc w:val="left"/>
        <w:textAlignment w:val="baseline"/>
        <w:rPr>
          <w:rFonts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</w:p>
    <w:p w14:paraId="5630AAC6">
      <w:pPr>
        <w:widowControl/>
        <w:kinsoku w:val="0"/>
        <w:autoSpaceDE w:val="0"/>
        <w:autoSpaceDN w:val="0"/>
        <w:adjustRightInd w:val="0"/>
        <w:snapToGrid w:val="0"/>
        <w:spacing w:line="31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24146418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41386C91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7BDC072D">
      <w:pPr>
        <w:spacing w:line="560" w:lineRule="exact"/>
        <w:ind w:firstLine="3520" w:firstLineChars="11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2A5C326F">
      <w:pPr>
        <w:spacing w:line="560" w:lineRule="exact"/>
        <w:ind w:firstLine="3520" w:firstLineChars="11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075920"/>
    </w:sdtPr>
    <w:sdtContent>
      <w:p w14:paraId="1CC37B82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9E482DB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38EB2">
    <w:pPr>
      <w:pStyle w:val="6"/>
      <w:pBdr>
        <w:bottom w:val="none" w:color="auto" w:sz="0" w:space="0"/>
      </w:pBdr>
    </w:pPr>
  </w:p>
  <w:p w14:paraId="3E73D41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hZmQzZTA1MjYwN2FkZGEwMGUyNzc0OThjMDhlOWQifQ=="/>
  </w:docVars>
  <w:rsids>
    <w:rsidRoot w:val="799709AC"/>
    <w:rsid w:val="00002C93"/>
    <w:rsid w:val="0002666A"/>
    <w:rsid w:val="0004357A"/>
    <w:rsid w:val="00047693"/>
    <w:rsid w:val="000D64B2"/>
    <w:rsid w:val="000E18C4"/>
    <w:rsid w:val="000F1ECC"/>
    <w:rsid w:val="001079A0"/>
    <w:rsid w:val="0013145F"/>
    <w:rsid w:val="0022575F"/>
    <w:rsid w:val="00372F52"/>
    <w:rsid w:val="003B6664"/>
    <w:rsid w:val="00525073"/>
    <w:rsid w:val="005875DD"/>
    <w:rsid w:val="005B3257"/>
    <w:rsid w:val="005C4151"/>
    <w:rsid w:val="005C5B3E"/>
    <w:rsid w:val="006017D6"/>
    <w:rsid w:val="006A664E"/>
    <w:rsid w:val="006E4F45"/>
    <w:rsid w:val="00726FED"/>
    <w:rsid w:val="007A4F3E"/>
    <w:rsid w:val="00830063"/>
    <w:rsid w:val="008316EA"/>
    <w:rsid w:val="008575FA"/>
    <w:rsid w:val="00864C86"/>
    <w:rsid w:val="00866D39"/>
    <w:rsid w:val="00926BDC"/>
    <w:rsid w:val="00940539"/>
    <w:rsid w:val="0097255D"/>
    <w:rsid w:val="009F2078"/>
    <w:rsid w:val="00A3695B"/>
    <w:rsid w:val="00A85511"/>
    <w:rsid w:val="00AB258C"/>
    <w:rsid w:val="00AF4A5F"/>
    <w:rsid w:val="00B374E0"/>
    <w:rsid w:val="00B839E5"/>
    <w:rsid w:val="00C63A49"/>
    <w:rsid w:val="00D20178"/>
    <w:rsid w:val="00D45BC2"/>
    <w:rsid w:val="00D631DF"/>
    <w:rsid w:val="00DD2A09"/>
    <w:rsid w:val="00EB54CB"/>
    <w:rsid w:val="00EC14F7"/>
    <w:rsid w:val="00F0353C"/>
    <w:rsid w:val="00F91EFE"/>
    <w:rsid w:val="00FE4D14"/>
    <w:rsid w:val="00FF73B4"/>
    <w:rsid w:val="01230E73"/>
    <w:rsid w:val="01AB18E4"/>
    <w:rsid w:val="01F93160"/>
    <w:rsid w:val="020967F0"/>
    <w:rsid w:val="047C599F"/>
    <w:rsid w:val="07A709BD"/>
    <w:rsid w:val="07C5765D"/>
    <w:rsid w:val="07CA31E7"/>
    <w:rsid w:val="0885591A"/>
    <w:rsid w:val="08F85810"/>
    <w:rsid w:val="09756E61"/>
    <w:rsid w:val="0AA03A6A"/>
    <w:rsid w:val="0AA96DC2"/>
    <w:rsid w:val="0C6B7CEE"/>
    <w:rsid w:val="0D044784"/>
    <w:rsid w:val="0DD12D7B"/>
    <w:rsid w:val="11B85B3D"/>
    <w:rsid w:val="12163725"/>
    <w:rsid w:val="124E42A3"/>
    <w:rsid w:val="14AF2CDE"/>
    <w:rsid w:val="15E45152"/>
    <w:rsid w:val="17345A1F"/>
    <w:rsid w:val="17547830"/>
    <w:rsid w:val="17795D6E"/>
    <w:rsid w:val="18223DCC"/>
    <w:rsid w:val="1A483EB0"/>
    <w:rsid w:val="1CA13D9D"/>
    <w:rsid w:val="1CEA57A9"/>
    <w:rsid w:val="1EA71413"/>
    <w:rsid w:val="1FD60202"/>
    <w:rsid w:val="1FDB75C6"/>
    <w:rsid w:val="223134D6"/>
    <w:rsid w:val="22E9024C"/>
    <w:rsid w:val="278C389C"/>
    <w:rsid w:val="27B67804"/>
    <w:rsid w:val="28FD2468"/>
    <w:rsid w:val="2F592E57"/>
    <w:rsid w:val="2FE33DDB"/>
    <w:rsid w:val="30BD4AC6"/>
    <w:rsid w:val="32E76D31"/>
    <w:rsid w:val="35D25A06"/>
    <w:rsid w:val="36315D3A"/>
    <w:rsid w:val="368F0CB2"/>
    <w:rsid w:val="39A6259B"/>
    <w:rsid w:val="39AD47AD"/>
    <w:rsid w:val="3B3E1473"/>
    <w:rsid w:val="43C74926"/>
    <w:rsid w:val="48335942"/>
    <w:rsid w:val="48861F15"/>
    <w:rsid w:val="48E924A4"/>
    <w:rsid w:val="49141ED6"/>
    <w:rsid w:val="4A635E29"/>
    <w:rsid w:val="4C1A53DA"/>
    <w:rsid w:val="4D8E766A"/>
    <w:rsid w:val="4E9E163B"/>
    <w:rsid w:val="4FCD667C"/>
    <w:rsid w:val="50A11CED"/>
    <w:rsid w:val="513D15DF"/>
    <w:rsid w:val="515801C7"/>
    <w:rsid w:val="520D0FB1"/>
    <w:rsid w:val="53BC2C8F"/>
    <w:rsid w:val="551663CF"/>
    <w:rsid w:val="55B654BC"/>
    <w:rsid w:val="55E6647D"/>
    <w:rsid w:val="59BD150F"/>
    <w:rsid w:val="5E0314BA"/>
    <w:rsid w:val="64A20FF6"/>
    <w:rsid w:val="66971D12"/>
    <w:rsid w:val="68224C33"/>
    <w:rsid w:val="69E112B7"/>
    <w:rsid w:val="6AE65E18"/>
    <w:rsid w:val="6C996F92"/>
    <w:rsid w:val="6DC1768E"/>
    <w:rsid w:val="6E5024FA"/>
    <w:rsid w:val="71687B5B"/>
    <w:rsid w:val="76A97499"/>
    <w:rsid w:val="79690914"/>
    <w:rsid w:val="799709AC"/>
    <w:rsid w:val="7A0F5B7D"/>
    <w:rsid w:val="7A5C3FD5"/>
    <w:rsid w:val="7ABE07EB"/>
    <w:rsid w:val="7BE95D3C"/>
    <w:rsid w:val="7E68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批注框文本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3">
    <w:name w:val="页眉 字符"/>
    <w:basedOn w:val="9"/>
    <w:link w:val="6"/>
    <w:qFormat/>
    <w:uiPriority w:val="99"/>
    <w:rPr>
      <w:kern w:val="2"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kern w:val="2"/>
      <w:sz w:val="18"/>
      <w:szCs w:val="18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D4C99-316B-4443-A925-6C62CDB4FC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4251</Words>
  <Characters>4431</Characters>
  <Lines>30</Lines>
  <Paragraphs>8</Paragraphs>
  <TotalTime>32</TotalTime>
  <ScaleCrop>false</ScaleCrop>
  <LinksUpToDate>false</LinksUpToDate>
  <CharactersWithSpaces>4438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2025-03-20T07:58:00Z</dcterms:created>
  <dc:creator>爱风的牛</dc:creator>
  <cp:lastModifiedBy>yxy</cp:lastModifiedBy>
  <cp:lastPrinted>2025-03-24T10:36:00Z</cp:lastPrinted>
  <dcterms:modified xsi:type="dcterms:W3CDTF">2026-04-09T08:21:40Z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A9A68F56BCAA4D8186B1F10BEF1A1A4A_13</vt:lpwstr>
  </property>
  <property fmtid="{D5CDD505-2E9C-101B-9397-08002B2CF9AE}" pid="4" name="KSOTemplateDocerSaveRecord">
    <vt:lpwstr>eyJoZGlkIjoiNjBjYzhmNjc3MzQ2NzYxZjM0NjIzYWI3MWE4NTNkMGQiLCJ1c2VySWQiOiIxMDMzMTk2OTAyIn0=</vt:lpwstr>
  </property>
</Properties>
</file>