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</w:rPr>
        <w:t>1-3</w:t>
      </w:r>
    </w:p>
    <w:p>
      <w:pPr>
        <w:shd w:val="clear" w:color="auto" w:fill="auto"/>
        <w:snapToGrid w:val="0"/>
        <w:spacing w:line="560" w:lineRule="exact"/>
        <w:jc w:val="left"/>
        <w:rPr>
          <w:rFonts w:eastAsia="黑体"/>
          <w:sz w:val="32"/>
          <w:szCs w:val="32"/>
        </w:rPr>
      </w:pPr>
    </w:p>
    <w:p>
      <w:pPr>
        <w:shd w:val="clear" w:color="auto" w:fill="auto"/>
        <w:snapToGrid w:val="0"/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2024年</w:t>
      </w:r>
      <w:r>
        <w:rPr>
          <w:rFonts w:hint="eastAsia" w:ascii="方正小标宋简体" w:eastAsia="方正小标宋简体"/>
          <w:sz w:val="44"/>
          <w:szCs w:val="44"/>
        </w:rPr>
        <w:t>第七届“高创杯”广东高校科技成果</w:t>
      </w:r>
    </w:p>
    <w:p>
      <w:pPr>
        <w:shd w:val="clear" w:color="auto" w:fill="auto"/>
        <w:snapToGrid w:val="0"/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转化路演大赛宣讲安排</w:t>
      </w:r>
    </w:p>
    <w:p>
      <w:pPr>
        <w:shd w:val="clear" w:color="auto" w:fill="auto"/>
        <w:snapToGrid w:val="0"/>
        <w:spacing w:line="660" w:lineRule="exact"/>
        <w:jc w:val="center"/>
        <w:rPr>
          <w:rFonts w:ascii="方正小标宋简体" w:hAnsi="宋体" w:eastAsia="方正小标宋简体"/>
          <w:color w:val="FF0000"/>
          <w:sz w:val="36"/>
          <w:szCs w:val="36"/>
        </w:rPr>
      </w:pPr>
    </w:p>
    <w:p>
      <w:pPr>
        <w:pStyle w:val="2"/>
        <w:shd w:val="clear" w:color="auto" w:fill="auto"/>
        <w:spacing w:after="0" w:line="560" w:lineRule="exact"/>
        <w:ind w:firstLine="640" w:firstLineChars="200"/>
        <w:rPr>
          <w:rFonts w:ascii="仿宋_GB2312" w:eastAsia="仿宋_GB2312"/>
          <w:szCs w:val="32"/>
        </w:rPr>
      </w:pPr>
      <w:r>
        <w:rPr>
          <w:rFonts w:hint="eastAsia" w:ascii="仿宋_GB2312" w:eastAsia="仿宋_GB2312"/>
          <w:szCs w:val="32"/>
        </w:rPr>
        <w:t>为办好2024年第七届“高创杯”广东高校科技成果转化路演大赛，</w:t>
      </w:r>
      <w:r>
        <w:rPr>
          <w:rFonts w:hint="eastAsia" w:eastAsia="仿宋_GB2312"/>
          <w:szCs w:val="32"/>
        </w:rPr>
        <w:t>激发教师科研团队、大学生群体、科技型中小企业参赛热情，挖掘更多优质的高校科技成果和高校科技产品，特</w:t>
      </w:r>
      <w:r>
        <w:rPr>
          <w:rFonts w:hint="eastAsia" w:ascii="仿宋_GB2312" w:eastAsia="仿宋_GB2312"/>
          <w:szCs w:val="32"/>
        </w:rPr>
        <w:t>举办2024年第七届“高创杯”广东高校科技成果转化路演大赛宣讲活动，具体</w:t>
      </w:r>
      <w:r>
        <w:rPr>
          <w:rFonts w:hint="eastAsia" w:ascii="仿宋_GB2312" w:eastAsia="仿宋_GB2312"/>
          <w:color w:val="000000"/>
          <w:szCs w:val="32"/>
        </w:rPr>
        <w:t>宣讲安排如下</w:t>
      </w:r>
      <w:r>
        <w:rPr>
          <w:rFonts w:hint="eastAsia" w:ascii="仿宋_GB2312" w:eastAsia="仿宋_GB2312"/>
          <w:szCs w:val="32"/>
        </w:rPr>
        <w:t>。</w:t>
      </w:r>
    </w:p>
    <w:p>
      <w:pPr>
        <w:numPr>
          <w:ilvl w:val="0"/>
          <w:numId w:val="1"/>
        </w:numPr>
        <w:shd w:val="clear" w:color="auto" w:fill="auto"/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eastAsia="黑体"/>
          <w:color w:val="000000"/>
          <w:sz w:val="32"/>
          <w:szCs w:val="32"/>
        </w:rPr>
      </w:pPr>
      <w:r>
        <w:rPr>
          <w:rFonts w:hint="eastAsia" w:eastAsia="黑体"/>
          <w:color w:val="000000"/>
          <w:sz w:val="32"/>
          <w:szCs w:val="32"/>
        </w:rPr>
        <w:t>宣讲要求</w:t>
      </w:r>
    </w:p>
    <w:p>
      <w:pPr>
        <w:shd w:val="clear" w:color="auto" w:fill="auto"/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次宣讲活动由广东高校科技成果转化中心负责组织开展，请各高校广泛动员学校团委、科学技术研究部门、创新创业学院、大学科技园等积极组织拥有科技成果的教师科研团队、具有高校背景的科技型中小企业、学生团队参加。宣讲具体事宜，由广东高校科技成果转化中心与学校对接。</w:t>
      </w:r>
    </w:p>
    <w:p>
      <w:pPr>
        <w:shd w:val="clear" w:color="auto" w:fill="auto"/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二、宣讲计划</w:t>
      </w:r>
    </w:p>
    <w:tbl>
      <w:tblPr>
        <w:tblStyle w:val="10"/>
        <w:tblW w:w="97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"/>
        <w:gridCol w:w="1376"/>
        <w:gridCol w:w="4200"/>
        <w:gridCol w:w="4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tblHeader/>
          <w:jc w:val="center"/>
        </w:trPr>
        <w:tc>
          <w:tcPr>
            <w:tcW w:w="1386" w:type="dxa"/>
            <w:gridSpan w:val="2"/>
            <w:noWrap w:val="0"/>
            <w:vAlign w:val="top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4200" w:type="dxa"/>
            <w:noWrap w:val="0"/>
            <w:vAlign w:val="top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宣讲单位</w:t>
            </w:r>
          </w:p>
        </w:tc>
        <w:tc>
          <w:tcPr>
            <w:tcW w:w="4200" w:type="dxa"/>
            <w:noWrap w:val="0"/>
            <w:vAlign w:val="top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宣讲时间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86" w:type="dxa"/>
            <w:gridSpan w:val="2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中山大学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4月中旬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86" w:type="dxa"/>
            <w:gridSpan w:val="2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2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华南理工大学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4月中旬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86" w:type="dxa"/>
            <w:gridSpan w:val="2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3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深圳大学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4月中旬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86" w:type="dxa"/>
            <w:gridSpan w:val="2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4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南方科技大学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4月中旬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86" w:type="dxa"/>
            <w:gridSpan w:val="2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5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广东工业大学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4月中旬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86" w:type="dxa"/>
            <w:gridSpan w:val="2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bookmarkStart w:id="0" w:name="_Hlk37255715"/>
            <w:r>
              <w:rPr>
                <w:rFonts w:hint="eastAsia" w:ascii="仿宋_GB2312" w:hAnsi="宋体" w:eastAsia="仿宋_GB2312"/>
                <w:sz w:val="28"/>
                <w:szCs w:val="28"/>
              </w:rPr>
              <w:t>6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广州大学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4月下旬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86" w:type="dxa"/>
            <w:gridSpan w:val="2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7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华南师范大学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4月下旬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86" w:type="dxa"/>
            <w:gridSpan w:val="2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8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华南农业大学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4月下旬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86" w:type="dxa"/>
            <w:gridSpan w:val="2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9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佛山科学技术学院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5月上旬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86" w:type="dxa"/>
            <w:gridSpan w:val="2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10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广东白云学院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5月上旬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86" w:type="dxa"/>
            <w:gridSpan w:val="2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11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北京师范大学-香港水浸会大学联合国际学院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5月上旬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737" w:hRule="atLeast"/>
          <w:jc w:val="center"/>
        </w:trPr>
        <w:tc>
          <w:tcPr>
            <w:tcW w:w="1376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12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广东航海学院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5月中旬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737" w:hRule="atLeast"/>
          <w:jc w:val="center"/>
        </w:trPr>
        <w:tc>
          <w:tcPr>
            <w:tcW w:w="1376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  <w:highlight w:val="yellow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13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  <w:highlight w:val="yellow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广州城建职业学院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  <w:highlight w:val="yellow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5月中旬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737" w:hRule="atLeast"/>
          <w:jc w:val="center"/>
        </w:trPr>
        <w:tc>
          <w:tcPr>
            <w:tcW w:w="1376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14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佛山职业技术学院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5月中旬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737" w:hRule="atLeast"/>
          <w:jc w:val="center"/>
        </w:trPr>
        <w:tc>
          <w:tcPr>
            <w:tcW w:w="1376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15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深圳信息职业技术学院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5月下旬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737" w:hRule="atLeast"/>
          <w:jc w:val="center"/>
        </w:trPr>
        <w:tc>
          <w:tcPr>
            <w:tcW w:w="1376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16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广东工程职业技术学院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5月下旬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737" w:hRule="atLeast"/>
          <w:jc w:val="center"/>
        </w:trPr>
        <w:tc>
          <w:tcPr>
            <w:tcW w:w="1376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17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广州</w:t>
            </w:r>
            <w:r>
              <w:rPr>
                <w:rFonts w:ascii="仿宋_GB2312" w:hAnsi="宋体" w:eastAsia="仿宋_GB2312"/>
                <w:sz w:val="28"/>
                <w:szCs w:val="28"/>
              </w:rPr>
              <w:t>铁路职业技术学院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5月下旬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737" w:hRule="atLeast"/>
          <w:jc w:val="center"/>
        </w:trPr>
        <w:tc>
          <w:tcPr>
            <w:tcW w:w="1376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18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系列线上宣讲-高教专场、职教专场、大学科技园专场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4月中旬、4月下旬、5月上旬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737" w:hRule="atLeast"/>
          <w:jc w:val="center"/>
        </w:trPr>
        <w:tc>
          <w:tcPr>
            <w:tcW w:w="1376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19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成果推广赛道系列宣讲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shd w:val="clear" w:color="auto" w:fill="auto"/>
              <w:snapToGrid w:val="0"/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4-5月</w:t>
            </w:r>
          </w:p>
        </w:tc>
      </w:tr>
      <w:bookmarkEnd w:id="0"/>
    </w:tbl>
    <w:p>
      <w:pPr>
        <w:shd w:val="clear" w:color="auto" w:fill="auto"/>
        <w:snapToGrid w:val="0"/>
        <w:spacing w:line="560" w:lineRule="exact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*具体宣讲时间将根据实际情况实时调整。</w:t>
      </w:r>
    </w:p>
    <w:p>
      <w:pPr>
        <w:widowControl/>
        <w:shd w:val="clear" w:color="auto" w:fill="auto"/>
        <w:jc w:val="left"/>
      </w:pPr>
      <w:bookmarkStart w:id="1" w:name="_GoBack"/>
      <w:bookmarkEnd w:id="1"/>
    </w:p>
    <w:sectPr>
      <w:headerReference r:id="rId3" w:type="default"/>
      <w:footerReference r:id="rId4" w:type="default"/>
      <w:type w:val="continuous"/>
      <w:pgSz w:w="11906" w:h="16838"/>
      <w:pgMar w:top="2098" w:right="1474" w:bottom="1984" w:left="1587" w:header="851" w:footer="158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22935" cy="230505"/>
              <wp:effectExtent l="0" t="0" r="0" b="0"/>
              <wp:wrapNone/>
              <wp:docPr id="1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2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30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top:0pt;height:18.15pt;width:49.0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DMzFdEAAAADAQAADwAAAAAAAAABACAAAAAiAAAA&#10;ZHJzL2Rvd25yZXYueG1sUEsBAhQAFAAAAAgAh07iQPkRK20OAgAAEAQAAA4AAAAAAAAAAQAgAAAA&#10;IAEAAGRycy9lMm9Eb2MueG1sUEsFBgAAAAAGAAYAWQEAAK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30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939E2A"/>
    <w:multiLevelType w:val="singleLevel"/>
    <w:tmpl w:val="96939E2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xNTA4NDFkZGEyMmIzYTJlM2Y3NGU2ZGE3NWVlM2IifQ=="/>
    <w:docVar w:name="KSO_WPS_MARK_KEY" w:val="3ce71e74-29f1-47ea-bf45-db59f546c2f4"/>
  </w:docVars>
  <w:rsids>
    <w:rsidRoot w:val="005D07FD"/>
    <w:rsid w:val="00322E5E"/>
    <w:rsid w:val="005D07FD"/>
    <w:rsid w:val="00AC3777"/>
    <w:rsid w:val="00F17AB6"/>
    <w:rsid w:val="0233156B"/>
    <w:rsid w:val="0B27035A"/>
    <w:rsid w:val="0DF02D6C"/>
    <w:rsid w:val="20461230"/>
    <w:rsid w:val="2B1218B6"/>
    <w:rsid w:val="31F86CB1"/>
    <w:rsid w:val="380B7B77"/>
    <w:rsid w:val="38C17158"/>
    <w:rsid w:val="4A5F2260"/>
    <w:rsid w:val="5CCF744F"/>
    <w:rsid w:val="63B7D320"/>
    <w:rsid w:val="6E7D225E"/>
    <w:rsid w:val="7CB662BD"/>
    <w:rsid w:val="BC0F0A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2">
    <w:name w:val="Default Paragraph Font"/>
    <w:autoRedefine/>
    <w:unhideWhenUsed/>
    <w:qFormat/>
    <w:uiPriority w:val="1"/>
  </w:style>
  <w:style w:type="table" w:default="1" w:styleId="10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autoRedefine/>
    <w:qFormat/>
    <w:uiPriority w:val="99"/>
    <w:pPr>
      <w:spacing w:after="120" w:line="480" w:lineRule="auto"/>
    </w:pPr>
    <w:rPr>
      <w:sz w:val="32"/>
    </w:rPr>
  </w:style>
  <w:style w:type="paragraph" w:styleId="4">
    <w:name w:val="annotation text"/>
    <w:basedOn w:val="1"/>
    <w:link w:val="17"/>
    <w:autoRedefine/>
    <w:qFormat/>
    <w:uiPriority w:val="0"/>
    <w:pPr>
      <w:jc w:val="left"/>
    </w:pPr>
  </w:style>
  <w:style w:type="paragraph" w:styleId="5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9">
    <w:name w:val="annotation subject"/>
    <w:basedOn w:val="4"/>
    <w:next w:val="4"/>
    <w:link w:val="19"/>
    <w:autoRedefine/>
    <w:qFormat/>
    <w:uiPriority w:val="0"/>
    <w:rPr>
      <w:b/>
      <w:bCs/>
    </w:rPr>
  </w:style>
  <w:style w:type="table" w:styleId="11">
    <w:name w:val="Table Grid"/>
    <w:basedOn w:val="10"/>
    <w:autoRedefine/>
    <w:qFormat/>
    <w:uiPriority w:val="3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Emphasis"/>
    <w:basedOn w:val="12"/>
    <w:autoRedefine/>
    <w:qFormat/>
    <w:uiPriority w:val="0"/>
    <w:rPr>
      <w:i/>
    </w:rPr>
  </w:style>
  <w:style w:type="character" w:styleId="15">
    <w:name w:val="Hyperlink"/>
    <w:basedOn w:val="12"/>
    <w:autoRedefine/>
    <w:unhideWhenUsed/>
    <w:qFormat/>
    <w:uiPriority w:val="99"/>
    <w:rPr>
      <w:color w:val="0000FF"/>
      <w:u w:val="single"/>
    </w:rPr>
  </w:style>
  <w:style w:type="character" w:styleId="16">
    <w:name w:val="annotation reference"/>
    <w:autoRedefine/>
    <w:qFormat/>
    <w:uiPriority w:val="0"/>
    <w:rPr>
      <w:sz w:val="21"/>
      <w:szCs w:val="21"/>
    </w:rPr>
  </w:style>
  <w:style w:type="character" w:customStyle="1" w:styleId="17">
    <w:name w:val="批注文字 Char"/>
    <w:link w:val="4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18">
    <w:name w:val="批注框文本 Char"/>
    <w:link w:val="5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批注主题 Char"/>
    <w:link w:val="9"/>
    <w:autoRedefine/>
    <w:qFormat/>
    <w:uiPriority w:val="0"/>
    <w:rPr>
      <w:rFonts w:ascii="Calibri" w:hAnsi="Calibri"/>
      <w:b/>
      <w:bCs/>
      <w:kern w:val="2"/>
      <w:sz w:val="21"/>
      <w:szCs w:val="24"/>
    </w:rPr>
  </w:style>
  <w:style w:type="paragraph" w:customStyle="1" w:styleId="20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等线" w:hAnsi="Calibri" w:eastAsia="等线" w:cs="等线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30</Pages>
  <Words>9127</Words>
  <Characters>9658</Characters>
  <Lines>75</Lines>
  <Paragraphs>21</Paragraphs>
  <TotalTime>38</TotalTime>
  <ScaleCrop>false</ScaleCrop>
  <LinksUpToDate>false</LinksUpToDate>
  <CharactersWithSpaces>9756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2024-03-26T00:26:00Z</dcterms:created>
  <dc:creator>Administrator</dc:creator>
  <cp:lastModifiedBy>张扬</cp:lastModifiedBy>
  <dcterms:modified xsi:type="dcterms:W3CDTF">2024-04-02T01:49:37Z</dcterms:modified>
  <dc:title>附件：2024年第七届“高创杯”广东高校科技成果转化路演大赛活动方案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BC2E64FB3E554CD9B4EB658A3EE1EECD_13</vt:lpwstr>
  </property>
  <property fmtid="{D5CDD505-2E9C-101B-9397-08002B2CF9AE}" pid="4" name="慧眼令牌">
    <vt:lpwstr>eyJraWQiOiJvYSIsInR5cCI6IkpXVCIsImFsZyI6IkhTMjU2In0.eyJzdWIiOiJPQS1MT0dJTiIsImNvcnBJZCI6IiIsIm1haW5BY2NvdW50IjoiIiwiaXNzIjoiRVhPQSIsIm9EZXB0IjoiIiwidXNlcklkIjoxMDcxMiwibURlcHQiOiIxNiznp5HnoJTlpIQo56CU56m255Sf5pWZ6IKy5aSE44CB55yB5a2m5L2N5YqeKSIsIm5iZiI6MTcxMTQ5ODgyNiwibmFtZSI6IumSn-aMr-WOnyIsImV4cCI6MjAyNjg2MjQyNiwiaWF0IjoxNzExNTAxODI2LCJqdGkiOiJvYSIsImFjY291bnQiOiJ6aG9uZ3p5In0.CXKRfMgtout4Lf9CTzk6L99SEJC3xFQaG4oQNjz-29M</vt:lpwstr>
  </property>
</Properties>
</file>