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640" w:lineRule="exact"/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Cs/>
          <w:sz w:val="32"/>
          <w:szCs w:val="32"/>
          <w:lang w:val="en-US" w:eastAsia="zh-CN"/>
        </w:rPr>
        <w:t>附件3：</w:t>
      </w:r>
    </w:p>
    <w:p>
      <w:pPr>
        <w:spacing w:line="720" w:lineRule="exact"/>
        <w:jc w:val="center"/>
        <w:rPr>
          <w:rFonts w:ascii="Times New Roman" w:hAnsi="Times New Roman" w:eastAsia="方正小标宋简体" w:cs="Times New Roman"/>
          <w:sz w:val="44"/>
        </w:rPr>
      </w:pPr>
      <w:r>
        <w:rPr>
          <w:rFonts w:ascii="Times New Roman" w:hAnsi="Times New Roman" w:eastAsia="方正小标宋简体" w:cs="Times New Roman"/>
          <w:sz w:val="44"/>
        </w:rPr>
        <w:t>关于举办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第十五届广东大学生科技学术季活动</w:t>
      </w:r>
      <w:r>
        <w:rPr>
          <w:rFonts w:ascii="Times New Roman" w:hAnsi="Times New Roman" w:eastAsia="方正小标宋简体" w:cs="Times New Roman"/>
          <w:bCs/>
          <w:sz w:val="44"/>
          <w:szCs w:val="44"/>
        </w:rPr>
        <w:t>之</w:t>
      </w:r>
      <w:r>
        <w:rPr>
          <w:rFonts w:hint="eastAsia" w:ascii="Times New Roman" w:hAnsi="Times New Roman" w:eastAsia="方正小标宋简体" w:cs="Times New Roman"/>
          <w:sz w:val="44"/>
        </w:rPr>
        <w:t>广东大学生数字艺术设计大赛</w:t>
      </w:r>
    </w:p>
    <w:p>
      <w:pPr>
        <w:spacing w:line="720" w:lineRule="exact"/>
        <w:jc w:val="center"/>
        <w:rPr>
          <w:rFonts w:ascii="Times New Roman" w:hAnsi="Times New Roman" w:eastAsia="方正小标宋简体" w:cs="Times New Roman"/>
          <w:bCs/>
          <w:sz w:val="44"/>
          <w:szCs w:val="44"/>
        </w:rPr>
      </w:pPr>
      <w:r>
        <w:rPr>
          <w:rFonts w:ascii="Times New Roman" w:hAnsi="Times New Roman" w:eastAsia="方正小标宋简体" w:cs="Times New Roman"/>
          <w:bCs/>
          <w:sz w:val="44"/>
          <w:szCs w:val="44"/>
        </w:rPr>
        <w:t>的</w:t>
      </w:r>
      <w:r>
        <w:rPr>
          <w:rFonts w:hint="eastAsia" w:ascii="Times New Roman" w:hAnsi="Times New Roman" w:eastAsia="方正小标宋简体" w:cs="Times New Roman"/>
          <w:bCs/>
          <w:sz w:val="44"/>
          <w:szCs w:val="44"/>
        </w:rPr>
        <w:t>工作方案</w:t>
      </w:r>
    </w:p>
    <w:p>
      <w:pPr>
        <w:spacing w:line="560" w:lineRule="exact"/>
        <w:rPr>
          <w:rFonts w:ascii="Times New Roman" w:hAnsi="Times New Roman" w:eastAsia="方正仿宋_GBK" w:cs="Times New Roman"/>
          <w:color w:val="333333"/>
          <w:sz w:val="32"/>
          <w:szCs w:val="32"/>
        </w:rPr>
      </w:pP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为深入学习贯彻习近平总书记在中国科学院第二十次院士大会、中国工程院第十五次院士大会、中国科协第十次全国代表大会上的重要讲话精神，以良好的科创精神喜迎党的二十大胜利召开，</w:t>
      </w:r>
      <w:r>
        <w:rPr>
          <w:rFonts w:ascii="Times New Roman" w:hAnsi="Times New Roman" w:eastAsia="方正仿宋_GBK"/>
          <w:sz w:val="32"/>
          <w:szCs w:val="32"/>
        </w:rPr>
        <w:t>根据</w:t>
      </w:r>
      <w:r>
        <w:rPr>
          <w:rFonts w:hint="eastAsia" w:ascii="Times New Roman" w:hAnsi="Times New Roman" w:eastAsia="方正仿宋_GBK"/>
          <w:sz w:val="32"/>
          <w:szCs w:val="32"/>
        </w:rPr>
        <w:t>《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关于举办第十五届广东大学生科技学术季活动的通知</w:t>
      </w:r>
      <w:r>
        <w:rPr>
          <w:rFonts w:hint="eastAsia" w:ascii="Times New Roman" w:hAnsi="Times New Roman" w:eastAsia="方正仿宋_GBK"/>
          <w:sz w:val="32"/>
          <w:szCs w:val="32"/>
        </w:rPr>
        <w:t>》</w:t>
      </w:r>
      <w:r>
        <w:rPr>
          <w:rFonts w:ascii="Times New Roman" w:hAnsi="Times New Roman" w:eastAsia="方正仿宋_GBK"/>
          <w:sz w:val="32"/>
          <w:szCs w:val="32"/>
        </w:rPr>
        <w:t>要求，现将</w:t>
      </w:r>
      <w:r>
        <w:rPr>
          <w:rFonts w:hint="eastAsia" w:ascii="Times New Roman" w:hAnsi="Times New Roman" w:eastAsia="方正仿宋_GBK"/>
          <w:sz w:val="32"/>
          <w:szCs w:val="32"/>
        </w:rPr>
        <w:t>广东大学生数字艺术设计大赛</w:t>
      </w:r>
      <w:r>
        <w:rPr>
          <w:rFonts w:ascii="Times New Roman" w:hAnsi="Times New Roman" w:eastAsia="方正仿宋_GBK"/>
          <w:sz w:val="32"/>
          <w:szCs w:val="32"/>
        </w:rPr>
        <w:t>有关事项</w:t>
      </w:r>
      <w:r>
        <w:rPr>
          <w:rFonts w:hint="eastAsia" w:ascii="Times New Roman" w:hAnsi="Times New Roman" w:eastAsia="方正仿宋_GBK"/>
          <w:sz w:val="32"/>
          <w:szCs w:val="32"/>
        </w:rPr>
        <w:t>安排</w:t>
      </w:r>
      <w:r>
        <w:rPr>
          <w:rFonts w:ascii="Times New Roman" w:hAnsi="Times New Roman" w:eastAsia="方正仿宋_GBK"/>
          <w:sz w:val="32"/>
          <w:szCs w:val="32"/>
        </w:rPr>
        <w:t>如下</w:t>
      </w:r>
      <w:r>
        <w:rPr>
          <w:rFonts w:hint="eastAsia" w:ascii="Times New Roman" w:hAnsi="Times New Roman" w:eastAsia="方正仿宋_GBK"/>
          <w:sz w:val="32"/>
          <w:szCs w:val="32"/>
        </w:rPr>
        <w:t>。</w:t>
      </w:r>
    </w:p>
    <w:p>
      <w:pPr>
        <w:spacing w:line="560" w:lineRule="exact"/>
        <w:ind w:firstLine="640" w:firstLineChars="200"/>
        <w:rPr>
          <w:rFonts w:ascii="Times New Roman" w:hAnsi="Times New Roman" w:eastAsia="方正黑体_GBK" w:cs="Times New Roman"/>
          <w:sz w:val="32"/>
          <w:szCs w:val="32"/>
        </w:rPr>
      </w:pPr>
      <w:r>
        <w:rPr>
          <w:rFonts w:ascii="Times New Roman" w:hAnsi="Times New Roman" w:eastAsia="方正黑体_GBK" w:cs="Times New Roman"/>
          <w:sz w:val="32"/>
          <w:szCs w:val="32"/>
        </w:rPr>
        <w:t>一、活动主题</w:t>
      </w:r>
    </w:p>
    <w:p>
      <w:pPr>
        <w:spacing w:line="560" w:lineRule="exact"/>
        <w:ind w:firstLine="640" w:firstLineChars="200"/>
        <w:rPr>
          <w:rFonts w:ascii="Times New Roman" w:hAnsi="Times New Roman" w:eastAsia="方正仿宋_GBK" w:cs="Times New Roman"/>
          <w:kern w:val="0"/>
          <w:sz w:val="32"/>
          <w:szCs w:val="32"/>
        </w:rPr>
      </w:pPr>
      <w:r>
        <w:rPr>
          <w:rFonts w:hint="eastAsia" w:ascii="Times New Roman" w:hAnsi="Times New Roman" w:eastAsia="方正仿宋_GBK" w:cs="Times New Roman"/>
          <w:kern w:val="0"/>
          <w:sz w:val="32"/>
          <w:szCs w:val="32"/>
        </w:rPr>
        <w:t>未来湾区 创新青年</w:t>
      </w:r>
    </w:p>
    <w:p>
      <w:pPr>
        <w:adjustRightInd w:val="0"/>
        <w:snapToGrid w:val="0"/>
        <w:spacing w:line="560" w:lineRule="exact"/>
        <w:ind w:firstLine="640" w:firstLineChars="200"/>
        <w:jc w:val="left"/>
        <w:rPr>
          <w:rFonts w:ascii="Times New Roman" w:hAnsi="Times New Roman" w:eastAsia="方正黑体_GBK" w:cs="Times New Roman"/>
          <w:color w:val="000000"/>
          <w:kern w:val="0"/>
          <w:sz w:val="32"/>
          <w:szCs w:val="32"/>
        </w:rPr>
      </w:pPr>
      <w:r>
        <w:rPr>
          <w:rFonts w:hint="eastAsia" w:ascii="Times New Roman" w:hAnsi="Times New Roman" w:eastAsia="方正黑体_GBK" w:cs="Times New Roman"/>
          <w:sz w:val="32"/>
          <w:szCs w:val="32"/>
        </w:rPr>
        <w:t>二、</w:t>
      </w:r>
      <w:r>
        <w:rPr>
          <w:rFonts w:ascii="Times New Roman" w:hAnsi="Times New Roman" w:eastAsia="方正黑体_GBK" w:cs="Times New Roman"/>
          <w:color w:val="000000"/>
          <w:kern w:val="0"/>
          <w:sz w:val="32"/>
          <w:szCs w:val="32"/>
        </w:rPr>
        <w:t>组织机构</w:t>
      </w:r>
    </w:p>
    <w:p>
      <w:pPr>
        <w:adjustRightInd w:val="0"/>
        <w:snapToGrid w:val="0"/>
        <w:spacing w:line="560" w:lineRule="exact"/>
        <w:ind w:firstLine="640"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楷体_GBK" w:hAnsi="宋体" w:eastAsia="方正楷体_GBK"/>
          <w:color w:val="000000"/>
          <w:sz w:val="32"/>
          <w:szCs w:val="32"/>
        </w:rPr>
        <w:t>（一）主办单位</w:t>
      </w:r>
      <w:r>
        <w:rPr>
          <w:rFonts w:hint="eastAsia" w:ascii="宋体" w:hAnsi="宋体"/>
          <w:color w:val="000000"/>
          <w:sz w:val="32"/>
          <w:szCs w:val="32"/>
        </w:rPr>
        <w:t>：</w:t>
      </w:r>
      <w:r>
        <w:rPr>
          <w:rFonts w:ascii="方正仿宋_GBK" w:hAnsi="方正仿宋_GBK" w:eastAsia="方正仿宋_GBK" w:cs="方正仿宋_GBK"/>
          <w:color w:val="000000"/>
          <w:sz w:val="32"/>
          <w:szCs w:val="32"/>
        </w:rPr>
        <w:t>共青团广东省委员会、广东省教育厅、广东省科学技术厅、广东省科学技术协会、广东省学生联合会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方正仿宋_GBK" w:hAnsi="方正仿宋_GBK" w:eastAsia="方正仿宋_GBK" w:cs="方正仿宋_GBK"/>
          <w:color w:val="000000"/>
          <w:kern w:val="2"/>
          <w:sz w:val="32"/>
          <w:szCs w:val="32"/>
        </w:rPr>
      </w:pP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</w:rPr>
        <w:t>（二）承办单位</w:t>
      </w:r>
      <w:r>
        <w:rPr>
          <w:rFonts w:hint="eastAsia" w:ascii="宋体" w:hAnsi="宋体" w:cs="宋体"/>
          <w:sz w:val="32"/>
          <w:szCs w:val="32"/>
        </w:rPr>
        <w:t>：</w:t>
      </w:r>
      <w:r>
        <w:rPr>
          <w:rFonts w:hint="eastAsia" w:ascii="方正仿宋_GBK" w:hAnsi="方正仿宋_GBK" w:eastAsia="方正仿宋_GBK" w:cs="方正仿宋_GBK"/>
          <w:color w:val="000000"/>
          <w:kern w:val="2"/>
          <w:sz w:val="32"/>
          <w:szCs w:val="32"/>
        </w:rPr>
        <w:t>深圳职业技术学院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楷体_GBK" w:hAnsi="宋体" w:eastAsia="方正楷体_GBK"/>
          <w:color w:val="000000"/>
          <w:sz w:val="32"/>
          <w:szCs w:val="32"/>
        </w:rPr>
        <w:t>（三）技术指导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：</w:t>
      </w: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迷你创想（深圳）科技有限公司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大赛设立组委会，由主办、承办单位的有关负责人组成，负责比赛组织领导工作。组委会下设办公室，设在深圳职业技术学院校团委，负责比赛日常事务。大赛设立评委会，由组委会聘请各领域学术专家组成，负责参赛作品的评审工作。</w:t>
      </w:r>
    </w:p>
    <w:p>
      <w:pPr>
        <w:adjustRightInd w:val="0"/>
        <w:snapToGrid w:val="0"/>
        <w:spacing w:line="560" w:lineRule="exact"/>
        <w:ind w:firstLine="640" w:firstLineChars="200"/>
        <w:jc w:val="left"/>
        <w:rPr>
          <w:rFonts w:ascii="Times New Roman" w:hAnsi="Times New Roman" w:eastAsia="方正黑体_GBK" w:cs="Times New Roman"/>
          <w:sz w:val="32"/>
          <w:szCs w:val="32"/>
        </w:rPr>
      </w:pPr>
      <w:r>
        <w:rPr>
          <w:rFonts w:hint="eastAsia" w:ascii="Times New Roman" w:hAnsi="Times New Roman" w:eastAsia="方正黑体_GBK" w:cs="Times New Roman"/>
          <w:sz w:val="32"/>
          <w:szCs w:val="32"/>
        </w:rPr>
        <w:t>三</w:t>
      </w:r>
      <w:r>
        <w:rPr>
          <w:rFonts w:ascii="Times New Roman" w:hAnsi="Times New Roman" w:eastAsia="方正黑体_GBK" w:cs="Times New Roman"/>
          <w:sz w:val="32"/>
          <w:szCs w:val="32"/>
        </w:rPr>
        <w:t>、参赛对象</w:t>
      </w:r>
      <w:r>
        <w:rPr>
          <w:rFonts w:hint="eastAsia" w:ascii="Times New Roman" w:hAnsi="Times New Roman" w:eastAsia="方正黑体_GBK" w:cs="Times New Roman"/>
          <w:sz w:val="32"/>
          <w:szCs w:val="32"/>
        </w:rPr>
        <w:t>及说明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kern w:val="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kern w:val="0"/>
          <w:sz w:val="32"/>
          <w:szCs w:val="32"/>
        </w:rPr>
        <w:t>活动面向全省高校全日制在校专科生、本科生、研究生，鼓励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港澳高校</w:t>
      </w:r>
      <w:r>
        <w:rPr>
          <w:rFonts w:hint="eastAsia" w:ascii="Times New Roman" w:hAnsi="Times New Roman" w:eastAsia="方正仿宋_GBK"/>
          <w:sz w:val="32"/>
          <w:szCs w:val="32"/>
        </w:rPr>
        <w:t>大学生参赛。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kern w:val="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1.大赛分为内地参赛项目和港澳参赛项目，内地参赛项目面向省内高校大学生（含在粤港澳籍大学生），港澳参赛项目特邀港澳高校大学生参加；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kern w:val="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2.每个参赛队伍学生人数最多不超过5人，允许校内跨年级、跨专业组队，各高校参赛队伍数量不限，不可跨校组队；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3.每人只能参加一支队伍，默认投稿人为团队负责人，一切信息以团队负责人提供的为准；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4.指导教师必须是参赛队伍所在高校在职教师。指导教师可以指导学生进行组队、知识技能训练，但现场参赛必须由参赛学生独立完成；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5.本次大赛仅限使用《迷你世界》和《迷你编程》客户端进行作品创作，提交作品的条件：《迷你世界》账号完成实名认证并绑定手机号码；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6.投稿注意事项：非投稿时间分享的作品或历史分享过的作品均不能参赛；投稿作品需要“公开”分享，请勿选择“私有”，大赛期间不得取消分享，如取消分享或删除作品导致评审团无法查阅的，作品将被视为无效及弃权；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outlineLvl w:val="0"/>
        <w:rPr>
          <w:rFonts w:ascii="Times New Roman" w:hAnsi="Times New Roman" w:eastAsia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>7.提交作品必须为参赛者原创的作品，且未获得过其他赛事的奖项。作品不存在盗用、侵犯任何第三方的著作权、商标权和其他合法权益的内容。参赛者须遵守国家法律法规，不得宣传色情、暴力、血腥等不良内容，不创作涉及婚恋、政治话题内容</w:t>
      </w:r>
      <w:r>
        <w:rPr>
          <w:rFonts w:hint="eastAsia" w:ascii="Times New Roman" w:hAnsi="Times New Roman" w:eastAsia="方正仿宋_GBK"/>
          <w:sz w:val="32"/>
          <w:szCs w:val="32"/>
        </w:rPr>
        <w:t>。</w:t>
      </w:r>
    </w:p>
    <w:p>
      <w:pPr>
        <w:spacing w:line="560" w:lineRule="exact"/>
        <w:ind w:firstLine="640" w:firstLineChars="200"/>
        <w:rPr>
          <w:rFonts w:ascii="方正黑体_GBK" w:hAnsi="方正黑体_GBK" w:eastAsia="方正黑体_GBK" w:cs="方正黑体_GBK"/>
          <w:sz w:val="32"/>
          <w:szCs w:val="32"/>
        </w:rPr>
      </w:pPr>
      <w:r>
        <w:rPr>
          <w:rFonts w:ascii="方正黑体_GBK" w:hAnsi="方正黑体_GBK" w:eastAsia="方正黑体_GBK" w:cs="方正黑体_GBK"/>
          <w:sz w:val="32"/>
          <w:szCs w:val="32"/>
        </w:rPr>
        <w:t>四、</w:t>
      </w:r>
      <w:r>
        <w:rPr>
          <w:rFonts w:hint="eastAsia" w:ascii="方正黑体_GBK" w:hAnsi="方正黑体_GBK" w:eastAsia="方正黑体_GBK" w:cs="方正黑体_GBK"/>
          <w:sz w:val="32"/>
          <w:szCs w:val="32"/>
        </w:rPr>
        <w:t>推进步骤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rPr>
          <w:rFonts w:ascii="方正楷体_GBK" w:hAnsi="宋体" w:eastAsia="方正楷体_GBK" w:cs="宋体"/>
          <w:color w:val="000000"/>
          <w:kern w:val="2"/>
          <w:sz w:val="32"/>
          <w:szCs w:val="32"/>
        </w:rPr>
      </w:pP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</w:rPr>
        <w:t>（一）日程安排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Times New Roman" w:hAnsi="Times New Roman" w:eastAsia="方正仿宋_GBK"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color w:val="000000"/>
          <w:kern w:val="2"/>
          <w:sz w:val="32"/>
          <w:szCs w:val="32"/>
        </w:rPr>
        <w:t>1.启</w:t>
      </w: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</w:rPr>
        <w:t>动阶段：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2022年3月下旬。</w:t>
      </w:r>
      <w:r>
        <w:rPr>
          <w:rFonts w:hint="eastAsia" w:ascii="Times New Roman" w:hAnsi="Times New Roman" w:eastAsia="方正仿宋_GBK"/>
          <w:sz w:val="32"/>
          <w:szCs w:val="32"/>
        </w:rPr>
        <w:t>拟定大赛方案，发布大赛通知。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Times New Roman" w:hAnsi="Times New Roman" w:eastAsia="方正仿宋_GBK"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sz w:val="32"/>
          <w:szCs w:val="32"/>
        </w:rPr>
        <w:t>2.</w:t>
      </w:r>
      <w:r>
        <w:rPr>
          <w:rFonts w:hint="eastAsia" w:ascii="方正楷体_GBK" w:hAnsi="方正楷体_GBK" w:eastAsia="方正楷体_GBK" w:cs="方正楷体_GBK"/>
          <w:color w:val="000000"/>
          <w:kern w:val="2"/>
          <w:sz w:val="32"/>
          <w:szCs w:val="32"/>
        </w:rPr>
        <w:t>比</w:t>
      </w: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</w:rPr>
        <w:t>赛宣讲、参赛培训阶段</w:t>
      </w:r>
      <w:r>
        <w:rPr>
          <w:rFonts w:hint="eastAsia" w:ascii="方正仿宋_GBK" w:hAnsi="方正仿宋_GBK" w:eastAsia="方正仿宋_GBK" w:cs="方正仿宋_GBK"/>
          <w:color w:val="000000"/>
          <w:kern w:val="2"/>
          <w:sz w:val="32"/>
          <w:szCs w:val="32"/>
        </w:rPr>
        <w:t>：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2022年4月。对</w:t>
      </w:r>
      <w:r>
        <w:rPr>
          <w:rFonts w:hint="eastAsia" w:ascii="Times New Roman" w:hAnsi="Times New Roman" w:eastAsia="方正仿宋_GBK"/>
          <w:sz w:val="32"/>
          <w:szCs w:val="32"/>
        </w:rPr>
        <w:t>大赛进行前期宣传、氛围营造，并组织参赛队伍进行线上或线下参赛培训。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Times New Roman" w:hAnsi="Times New Roman" w:eastAsia="方正仿宋_GBK"/>
          <w:sz w:val="32"/>
          <w:szCs w:val="32"/>
        </w:rPr>
      </w:pPr>
      <w:r>
        <w:rPr>
          <w:rFonts w:hint="eastAsia" w:ascii="方正楷体_GBK" w:hAnsi="方正楷体_GBK" w:eastAsia="方正楷体_GBK" w:cs="方正楷体_GBK"/>
          <w:color w:val="000000"/>
          <w:kern w:val="2"/>
          <w:sz w:val="32"/>
          <w:szCs w:val="32"/>
        </w:rPr>
        <w:t>3.作</w:t>
      </w: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</w:rPr>
        <w:t>品征集阶段：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即日起至2022年5月21日。各参赛队伍在《迷你世界》或《迷你编程》客户端上创作作品，并在大赛官网（https://ncsgdc.mini1.cn/gussas/2022/home）上完成作品提交。</w:t>
      </w:r>
    </w:p>
    <w:p>
      <w:pPr>
        <w:spacing w:line="560" w:lineRule="exact"/>
        <w:ind w:firstLine="640" w:firstLineChars="200"/>
        <w:rPr>
          <w:rFonts w:ascii="Times New Roman" w:hAnsi="Times New Roman" w:eastAsia="方正仿宋_GBK" w:cs="Times New Roman"/>
          <w:kern w:val="0"/>
          <w:sz w:val="32"/>
          <w:szCs w:val="32"/>
          <w:highlight w:val="none"/>
        </w:rPr>
      </w:pPr>
      <w:r>
        <w:rPr>
          <w:rFonts w:hint="eastAsia" w:ascii="方正楷体_GBK" w:hAnsi="方正楷体_GBK" w:eastAsia="方正楷体_GBK" w:cs="方正楷体_GBK"/>
          <w:color w:val="000000"/>
          <w:sz w:val="32"/>
          <w:szCs w:val="32"/>
        </w:rPr>
        <w:t>4.省</w:t>
      </w:r>
      <w:r>
        <w:rPr>
          <w:rFonts w:hint="eastAsia" w:ascii="方正楷体_GBK" w:hAnsi="宋体" w:eastAsia="方正楷体_GBK"/>
          <w:color w:val="000000"/>
          <w:sz w:val="32"/>
          <w:szCs w:val="32"/>
        </w:rPr>
        <w:t>级初赛：</w:t>
      </w: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2022年5月下旬</w:t>
      </w:r>
      <w:r>
        <w:rPr>
          <w:rFonts w:hint="eastAsia" w:ascii="方正仿宋_GBK" w:hAnsi="方正仿宋_GBK" w:eastAsia="方正仿宋_GBK" w:cs="方正仿宋_GBK"/>
          <w:kern w:val="0"/>
          <w:sz w:val="32"/>
          <w:szCs w:val="32"/>
        </w:rPr>
        <w:t>。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</w:rPr>
        <w:t>组织省级初赛评审，评选出入围省级决赛的名单，每个高校</w:t>
      </w:r>
      <w:r>
        <w:rPr>
          <w:rFonts w:hint="eastAsia" w:ascii="Times New Roman" w:hAnsi="Times New Roman" w:eastAsia="方正仿宋_GBK"/>
          <w:sz w:val="32"/>
          <w:szCs w:val="32"/>
        </w:rPr>
        <w:t>内地</w:t>
      </w: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参赛项目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  <w:highlight w:val="none"/>
        </w:rPr>
        <w:t>晋级数量不超</w:t>
      </w:r>
      <w:r>
        <w:rPr>
          <w:rFonts w:hint="eastAsia" w:ascii="方正仿宋_GBK" w:hAnsi="方正仿宋_GBK" w:eastAsia="方正仿宋_GBK" w:cs="方正仿宋_GBK"/>
          <w:kern w:val="0"/>
          <w:sz w:val="32"/>
          <w:szCs w:val="32"/>
          <w:highlight w:val="none"/>
        </w:rPr>
        <w:t>过2个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  <w:highlight w:val="none"/>
        </w:rPr>
        <w:t>，</w:t>
      </w: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港澳参赛项目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  <w:highlight w:val="none"/>
        </w:rPr>
        <w:t>晋级数量不限</w:t>
      </w: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Times New Roman" w:hAnsi="Times New Roman" w:eastAsia="方正仿宋_GBK"/>
          <w:sz w:val="32"/>
          <w:szCs w:val="32"/>
          <w:highlight w:val="none"/>
        </w:rPr>
      </w:pPr>
      <w:r>
        <w:rPr>
          <w:rFonts w:hint="eastAsia" w:ascii="方正楷体_GBK" w:hAnsi="方正楷体_GBK" w:eastAsia="方正楷体_GBK" w:cs="方正楷体_GBK"/>
          <w:color w:val="000000"/>
          <w:kern w:val="2"/>
          <w:sz w:val="32"/>
          <w:szCs w:val="32"/>
          <w:highlight w:val="none"/>
        </w:rPr>
        <w:t>5.省级</w:t>
      </w: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  <w:highlight w:val="none"/>
        </w:rPr>
        <w:t>决赛：</w:t>
      </w: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  <w:highlight w:val="none"/>
        </w:rPr>
        <w:t>2022年</w:t>
      </w:r>
      <w:r>
        <w:rPr>
          <w:rFonts w:hint="eastAsia" w:ascii="方正仿宋_GBK" w:hAnsi="方正仿宋_GBK" w:eastAsia="方正仿宋_GBK" w:cs="方正仿宋_GBK"/>
          <w:color w:val="000000"/>
          <w:kern w:val="2"/>
          <w:sz w:val="32"/>
          <w:szCs w:val="32"/>
          <w:highlight w:val="none"/>
        </w:rPr>
        <w:t>6月上旬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。组</w:t>
      </w: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织省级决赛评审；决赛比赛形式为入围队伍通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过PPT、</w:t>
      </w: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作品视频、作品演示等方式进行现场路演，现场回答评委提问。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rPr>
          <w:rFonts w:ascii="方正楷体_GBK" w:hAnsi="宋体" w:eastAsia="方正楷体_GBK" w:cs="宋体"/>
          <w:color w:val="000000"/>
          <w:kern w:val="2"/>
          <w:sz w:val="32"/>
          <w:szCs w:val="32"/>
          <w:highlight w:val="none"/>
        </w:rPr>
      </w:pP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  <w:highlight w:val="none"/>
        </w:rPr>
        <w:t>（二）省级决赛地点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Times New Roman" w:hAnsi="Times New Roman" w:eastAsia="方正仿宋_GBK"/>
          <w:sz w:val="32"/>
          <w:szCs w:val="32"/>
          <w:highlight w:val="none"/>
        </w:rPr>
      </w:pPr>
      <w:r>
        <w:rPr>
          <w:rFonts w:hint="eastAsia" w:ascii="Times New Roman" w:hAnsi="Times New Roman" w:eastAsia="方正仿宋_GBK"/>
          <w:sz w:val="32"/>
          <w:szCs w:val="32"/>
          <w:highlight w:val="none"/>
        </w:rPr>
        <w:t>深圳职业技术学院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outlineLvl w:val="0"/>
        <w:rPr>
          <w:rFonts w:ascii="Times New Roman" w:hAnsi="Times New Roman" w:eastAsia="方正黑体_GBK"/>
          <w:color w:val="000000"/>
          <w:sz w:val="32"/>
          <w:szCs w:val="32"/>
          <w:highlight w:val="none"/>
          <w:shd w:val="clear" w:color="auto" w:fill="FFFFFF"/>
        </w:rPr>
      </w:pPr>
      <w:r>
        <w:rPr>
          <w:rFonts w:ascii="Times New Roman" w:hAnsi="Times New Roman" w:eastAsia="方正黑体_GBK"/>
          <w:color w:val="000000"/>
          <w:sz w:val="32"/>
          <w:szCs w:val="32"/>
          <w:highlight w:val="none"/>
          <w:shd w:val="clear" w:color="auto" w:fill="FFFFFF"/>
        </w:rPr>
        <w:t>五、比赛内容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rPr>
          <w:rFonts w:ascii="方正楷体_GBK" w:hAnsi="宋体" w:eastAsia="方正楷体_GBK" w:cs="宋体"/>
          <w:color w:val="000000"/>
          <w:kern w:val="2"/>
          <w:sz w:val="32"/>
          <w:szCs w:val="32"/>
          <w:highlight w:val="none"/>
        </w:rPr>
      </w:pP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  <w:highlight w:val="none"/>
        </w:rPr>
        <w:t>（一）大赛命题及作品要求</w:t>
      </w:r>
    </w:p>
    <w:p>
      <w:pPr>
        <w:adjustRightInd w:val="0"/>
        <w:snapToGrid w:val="0"/>
        <w:spacing w:line="560" w:lineRule="exact"/>
        <w:ind w:firstLine="643" w:firstLineChars="200"/>
        <w:rPr>
          <w:rFonts w:ascii="方正仿宋_GBK" w:hAnsi="方正仿宋_GBK" w:eastAsia="方正仿宋_GBK" w:cs="方正仿宋_GBK"/>
          <w:sz w:val="32"/>
          <w:highlight w:val="none"/>
        </w:rPr>
      </w:pPr>
      <w:r>
        <w:rPr>
          <w:rFonts w:hint="eastAsia" w:ascii="方正仿宋_GBK" w:hAnsi="方正仿宋_GBK" w:eastAsia="方正仿宋_GBK" w:cs="方正仿宋_GBK"/>
          <w:b/>
          <w:bCs/>
          <w:sz w:val="32"/>
          <w:highlight w:val="none"/>
        </w:rPr>
        <w:t>大赛命题：</w:t>
      </w:r>
      <w:r>
        <w:rPr>
          <w:rFonts w:hint="eastAsia" w:ascii="方正仿宋_GBK" w:hAnsi="方正仿宋_GBK" w:eastAsia="方正仿宋_GBK" w:cs="方正仿宋_GBK"/>
          <w:sz w:val="32"/>
          <w:highlight w:val="none"/>
        </w:rPr>
        <w:t>“粤港澳大湾区”被定调为“世界级城市群”、“国际一流湾区”、“国家级战略”、“千年大计”。2049年，新中国成立100年时，我国建成富强民主文明和谐美丽的社会主义现代化强国。此时的粤港澳大湾区将向世界展示一个全新的、充满活力、富有国际竞争力的一流湾区和世界级城市群。本次大赛以“2</w:t>
      </w:r>
      <w:r>
        <w:rPr>
          <w:rFonts w:ascii="方正仿宋_GBK" w:hAnsi="方正仿宋_GBK" w:eastAsia="方正仿宋_GBK" w:cs="方正仿宋_GBK"/>
          <w:sz w:val="32"/>
          <w:highlight w:val="none"/>
        </w:rPr>
        <w:t>049</w:t>
      </w:r>
      <w:r>
        <w:rPr>
          <w:rFonts w:hint="eastAsia" w:ascii="方正仿宋_GBK" w:hAnsi="方正仿宋_GBK" w:eastAsia="方正仿宋_GBK" w:cs="方正仿宋_GBK"/>
          <w:sz w:val="32"/>
          <w:highlight w:val="none"/>
        </w:rPr>
        <w:t>，未来湾区”“粤港澳大湾区9+2城市特色”“深港融合，一河两岸”为背景，各参赛队伍需发挥想象力和创造力，通过参与游戏项目的设计、开发，制作出能充分展现未来大湾区的科技、生态、人文等元素，能代表大湾区青年创新创意精神的游戏或具有逻辑性的数字场景。</w:t>
      </w:r>
    </w:p>
    <w:p>
      <w:pPr>
        <w:adjustRightInd w:val="0"/>
        <w:snapToGrid w:val="0"/>
        <w:spacing w:line="560" w:lineRule="exact"/>
        <w:ind w:firstLine="643" w:firstLineChars="200"/>
        <w:rPr>
          <w:rFonts w:ascii="Times New Roman" w:hAnsi="Times New Roman" w:eastAsia="方正仿宋_GBK" w:cs="Times New Roman"/>
          <w:kern w:val="0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b/>
          <w:bCs/>
          <w:sz w:val="32"/>
          <w:highlight w:val="none"/>
        </w:rPr>
        <w:t>参赛作品要求：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  <w:highlight w:val="none"/>
        </w:rPr>
        <w:t>作品需紧扣大赛主题，通过参赛者对游戏画面的构建和动画的设计，让观众“</w:t>
      </w:r>
      <w:r>
        <w:rPr>
          <w:rFonts w:hint="eastAsia" w:ascii="方正仿宋_GBK" w:hAnsi="方正仿宋_GBK" w:eastAsia="方正仿宋_GBK" w:cs="方正仿宋_GBK"/>
          <w:sz w:val="32"/>
          <w:highlight w:val="none"/>
        </w:rPr>
        <w:t>玩转未来湾区</w:t>
      </w:r>
      <w:r>
        <w:rPr>
          <w:rFonts w:hint="eastAsia" w:ascii="Times New Roman" w:hAnsi="Times New Roman" w:eastAsia="方正仿宋_GBK" w:cs="Times New Roman"/>
          <w:kern w:val="0"/>
          <w:sz w:val="32"/>
          <w:szCs w:val="32"/>
          <w:highlight w:val="none"/>
        </w:rPr>
        <w:t>”，并</w:t>
      </w:r>
      <w:r>
        <w:rPr>
          <w:rFonts w:hint="eastAsia" w:ascii="方正仿宋_GBK" w:hAnsi="方正仿宋_GBK" w:eastAsia="方正仿宋_GBK" w:cs="方正仿宋_GBK"/>
          <w:sz w:val="32"/>
          <w:highlight w:val="none"/>
        </w:rPr>
        <w:t>对“未来湾区”产生良好的畅想，发掘“未来湾区”之美，率先通过游戏实现“深港融合”。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rPr>
          <w:rFonts w:ascii="方正楷体_GBK" w:hAnsi="宋体" w:eastAsia="方正楷体_GBK" w:cs="宋体"/>
          <w:color w:val="000000"/>
          <w:kern w:val="2"/>
          <w:sz w:val="32"/>
          <w:szCs w:val="32"/>
          <w:highlight w:val="none"/>
        </w:rPr>
      </w:pPr>
      <w:r>
        <w:rPr>
          <w:rFonts w:hint="eastAsia" w:ascii="方正楷体_GBK" w:hAnsi="宋体" w:eastAsia="方正楷体_GBK" w:cs="宋体"/>
          <w:color w:val="000000"/>
          <w:kern w:val="2"/>
          <w:sz w:val="32"/>
          <w:szCs w:val="32"/>
          <w:highlight w:val="none"/>
        </w:rPr>
        <w:t>（二）大赛组别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场景设计组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1、依托粤港澳大湾区9+2城市，可还原真实的城市 “宏伟”标志性建筑或旅游景点，或畅想充满科技的未来大湾区；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（地标建筑包括不限于：深圳市民中心、深圳大运中心、广州塔、港珠澳大桥、香港会议展览中心、澳门大三巴牌坊、开平碉楼、佛山坊塔等等）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2、工具选择要求：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a、使用《迷你世界》客户端在“开发者模式”下，运用方块复制器、微缩、蓝图、微缩模型等工具，能提高你的创作速度和细节品质。直接使用编辑模式上传，即可在大赛官网投稿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  <w:t>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b、使用《迷你编程》客户端，合理结合积木编程和手动搭建完成作品。提交文件格式为mcode格式，并且文件命名格式【作品名+作者名】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  <w:t>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游戏设计组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1、围绕大赛主题，以大湾区城市IP、文化内涵、自然景观、人文风情等进行创造性设计和创作，不限玩法类型（包括但不限于：对战/模拟养成/角色扮演/塔防/冒险/跑酷/解密/体育竞技等）。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2、工具选择要求：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a、使用《迷你世界》客户端在“开发者模式”下，运用插件、触发器、UI编辑器或脚本等功能创作作品，并转换为玩法模式上传，即可在大赛官网投稿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  <w:t>；</w:t>
      </w:r>
    </w:p>
    <w:p>
      <w:pPr>
        <w:spacing w:line="560" w:lineRule="exact"/>
        <w:ind w:firstLine="640" w:firstLineChars="200"/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b、使用《迷你编程》客户端，合理结合积木编程和手动搭建完成作品。提交文件格式为mcode格式，并且文件命名格式【作品名+作者名】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  <w:lang w:eastAsia="zh-CN"/>
        </w:rPr>
        <w:t>。</w:t>
      </w:r>
    </w:p>
    <w:p>
      <w:pPr>
        <w:adjustRightInd w:val="0"/>
        <w:snapToGrid w:val="0"/>
        <w:spacing w:line="560" w:lineRule="exact"/>
        <w:ind w:firstLine="640" w:firstLineChars="200"/>
        <w:jc w:val="left"/>
        <w:rPr>
          <w:rFonts w:ascii="Times New Roman Regular" w:hAnsi="Times New Roman Regular" w:eastAsia="方正黑体_GBK" w:cs="Times New Roman Regular"/>
          <w:color w:val="000000"/>
          <w:kern w:val="0"/>
          <w:sz w:val="32"/>
          <w:szCs w:val="32"/>
          <w:highlight w:val="none"/>
        </w:rPr>
      </w:pPr>
      <w:r>
        <w:rPr>
          <w:rFonts w:hint="eastAsia" w:ascii="Times New Roman Regular" w:hAnsi="Times New Roman Regular" w:eastAsia="方正黑体_GBK" w:cs="Times New Roman Regular"/>
          <w:color w:val="000000"/>
          <w:kern w:val="0"/>
          <w:sz w:val="32"/>
          <w:szCs w:val="32"/>
          <w:highlight w:val="none"/>
        </w:rPr>
        <w:t>六</w:t>
      </w:r>
      <w:r>
        <w:rPr>
          <w:rFonts w:ascii="Times New Roman Regular" w:hAnsi="Times New Roman Regular" w:eastAsia="方正黑体_GBK" w:cs="Times New Roman Regular"/>
          <w:color w:val="000000"/>
          <w:kern w:val="0"/>
          <w:sz w:val="32"/>
          <w:szCs w:val="32"/>
          <w:highlight w:val="none"/>
        </w:rPr>
        <w:t>、奖项设置</w:t>
      </w:r>
      <w:r>
        <w:rPr>
          <w:rFonts w:hint="eastAsia" w:ascii="Times New Roman Regular" w:hAnsi="Times New Roman Regular" w:eastAsia="方正黑体_GBK" w:cs="Times New Roman Regular"/>
          <w:color w:val="000000"/>
          <w:kern w:val="0"/>
          <w:sz w:val="32"/>
          <w:szCs w:val="32"/>
          <w:highlight w:val="none"/>
        </w:rPr>
        <w:t>及激励措施</w:t>
      </w:r>
    </w:p>
    <w:p>
      <w:pPr>
        <w:spacing w:line="560" w:lineRule="exact"/>
        <w:ind w:firstLine="640" w:firstLineChars="200"/>
        <w:rPr>
          <w:rFonts w:ascii="方正楷体_GBK" w:hAnsi="方正楷体_GBK" w:eastAsia="方正楷体_GBK" w:cs="方正楷体_GBK"/>
          <w:sz w:val="32"/>
          <w:highlight w:val="none"/>
        </w:rPr>
      </w:pPr>
      <w:r>
        <w:rPr>
          <w:rFonts w:hint="eastAsia" w:ascii="方正楷体_GBK" w:hAnsi="方正楷体_GBK" w:eastAsia="方正楷体_GBK" w:cs="方正楷体_GBK"/>
          <w:sz w:val="32"/>
          <w:highlight w:val="none"/>
        </w:rPr>
        <w:t>（一）奖项设置</w:t>
      </w:r>
    </w:p>
    <w:p>
      <w:pPr>
        <w:spacing w:line="560" w:lineRule="exact"/>
        <w:ind w:firstLine="640" w:firstLineChars="200"/>
        <w:rPr>
          <w:rFonts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本次比赛设一、二、三等奖、优秀指导老师奖和优秀组织奖。</w:t>
      </w:r>
      <w:r>
        <w:rPr>
          <w:rFonts w:ascii="方正仿宋_GBK" w:hAnsi="方正仿宋_GBK" w:eastAsia="方正仿宋_GBK" w:cs="方正仿宋_GBK"/>
          <w:sz w:val="32"/>
          <w:szCs w:val="32"/>
          <w:highlight w:val="none"/>
        </w:rPr>
        <w:t>具体奖项比例根据活动实际情况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设置。港澳大学生参赛项目单独设置奖项。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方正楷体_GBK" w:hAnsi="方正楷体_GBK" w:eastAsia="方正楷体_GBK" w:cs="方正楷体_GBK"/>
          <w:sz w:val="32"/>
          <w:szCs w:val="32"/>
          <w:highlight w:val="none"/>
        </w:rPr>
      </w:pPr>
      <w:r>
        <w:rPr>
          <w:rFonts w:hint="eastAsia" w:ascii="方正楷体_GBK" w:hAnsi="方正楷体_GBK" w:eastAsia="方正楷体_GBK" w:cs="方正楷体_GBK"/>
          <w:sz w:val="32"/>
          <w:szCs w:val="32"/>
          <w:highlight w:val="none"/>
        </w:rPr>
        <w:t>（二）评选标准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“优秀组织奖”根据承办学校发动、执行情况以及各参赛学校校级活动开展情况等进行评选。凡获得省级决赛二等奖及以上荣誉的项目，其项目的指导老师可以获得“优秀指导老师”称号（原则上每支队伍最多授予</w:t>
      </w:r>
      <w:r>
        <w:rPr>
          <w:rFonts w:ascii="方正仿宋_GBK" w:hAnsi="方正仿宋_GBK" w:eastAsia="方正仿宋_GBK" w:cs="方正仿宋_GBK"/>
          <w:sz w:val="32"/>
          <w:szCs w:val="32"/>
          <w:highlight w:val="none"/>
        </w:rPr>
        <w:t>2</w:t>
      </w: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名“优秀指导教师”）。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楷体_GBK" w:hAnsi="方正楷体_GBK" w:eastAsia="方正楷体_GBK" w:cs="方正楷体_GBK"/>
          <w:sz w:val="32"/>
          <w:szCs w:val="32"/>
          <w:highlight w:val="none"/>
        </w:rPr>
        <w:t>（三）激励措施</w:t>
      </w:r>
    </w:p>
    <w:p>
      <w:pPr>
        <w:pStyle w:val="5"/>
        <w:shd w:val="clear" w:color="auto" w:fill="FFFFFF"/>
        <w:spacing w:beforeAutospacing="0" w:afterAutospacing="0" w:line="560" w:lineRule="exact"/>
        <w:ind w:firstLine="640" w:firstLineChars="200"/>
        <w:jc w:val="both"/>
        <w:rPr>
          <w:rFonts w:ascii="方正仿宋_GBK" w:hAnsi="方正仿宋_GBK" w:eastAsia="方正仿宋_GBK" w:cs="方正仿宋_GBK"/>
          <w:sz w:val="32"/>
          <w:szCs w:val="32"/>
          <w:highlight w:val="none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highlight w:val="none"/>
        </w:rPr>
        <w:t>通过与行业协会合作，邀请行业内优质企业对省级决赛获奖的团队成员进行现场面试、直聘，提供就业、实习机会。</w:t>
      </w:r>
    </w:p>
    <w:p>
      <w:pPr>
        <w:wordWrap w:val="0"/>
        <w:spacing w:line="560" w:lineRule="exact"/>
        <w:ind w:firstLine="615"/>
        <w:jc w:val="both"/>
        <w:rPr>
          <w:rFonts w:ascii="方正仿宋_GBK" w:hAnsi="方正仿宋_GBK" w:eastAsia="方正仿宋_GBK" w:cs="方正仿宋_GBK"/>
          <w:sz w:val="32"/>
          <w:szCs w:val="32"/>
        </w:rPr>
      </w:pPr>
      <w:bookmarkStart w:id="0" w:name="_GoBack"/>
      <w:bookmarkEnd w:id="0"/>
    </w:p>
    <w:sectPr>
      <w:footerReference r:id="rId3" w:type="default"/>
      <w:pgSz w:w="11906" w:h="16838"/>
      <w:pgMar w:top="1440" w:right="1800" w:bottom="1440" w:left="1800" w:header="851" w:footer="992" w:gutter="0"/>
      <w:pgNumType w:fmt="numberInDash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E8894D4-0CD4-4A20-8208-9E8C9AAF6501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3BE7937-FE08-4036-8475-4617A739772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F3C06FC4-DB45-428D-9E67-BCBBBE4B054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4A04D4E6-8FD9-431D-AEB9-86ECDA3A0B1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717CF101-7030-4251-AE45-F37C5C79C34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F582B2A-07CC-4A6F-A129-30D5A1B6F9D5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楷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D887E650-EA8F-4C4B-89B9-373721AD479E}"/>
  </w:font>
  <w:font w:name="方正小标宋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8" w:fontKey="{BDB1A6D7-0E9B-4715-80F9-A23030EA3E5D}"/>
  </w:font>
  <w:font w:name="方正仿宋_GBK">
    <w:panose1 w:val="02000000000000000000"/>
    <w:charset w:val="86"/>
    <w:family w:val="script"/>
    <w:pitch w:val="default"/>
    <w:sig w:usb0="A00002BF" w:usb1="38CF7CFA" w:usb2="00082016" w:usb3="00000000" w:csb0="00040001" w:csb1="00000000"/>
    <w:embedRegular r:id="rId9" w:fontKey="{026CED62-47AF-44FC-81CD-556DB61C51CD}"/>
  </w:font>
  <w:font w:name="方正黑体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10" w:fontKey="{016E4E4B-C79E-4654-83EE-D6C4B65949E1}"/>
  </w:font>
  <w:font w:name="Times New Roman Regular">
    <w:altName w:val="Times New Roman"/>
    <w:panose1 w:val="00000000000000000000"/>
    <w:charset w:val="00"/>
    <w:family w:val="auto"/>
    <w:pitch w:val="default"/>
    <w:sig w:usb0="00000000" w:usb1="00000000" w:usb2="00000001" w:usb3="00000000" w:csb0="400001BF" w:csb1="DFF70000"/>
    <w:embedRegular r:id="rId11" w:fontKey="{EE097C2E-9BDA-44C6-BF52-CCB2B5CB51EC}"/>
  </w:font>
  <w:font w:name="华光彩云_CNKI">
    <w:panose1 w:val="02000500000000000000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711835" cy="263525"/>
              <wp:effectExtent l="0" t="0" r="0" b="0"/>
              <wp:wrapNone/>
              <wp:docPr id="4097" name="矩形 40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11835" cy="2635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3"/>
                            <w:rPr>
                              <w:rFonts w:ascii="宋体" w:hAnsi="宋体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eastAsia" w:ascii="宋体" w:hAnsi="宋体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/>
                              <w:sz w:val="32"/>
                              <w:szCs w:val="32"/>
                            </w:rPr>
                            <w:t>- 4 -</w:t>
                          </w:r>
                          <w:r>
                            <w:rPr>
                              <w:rFonts w:hint="eastAsia" w:ascii="宋体" w:hAnsi="宋体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top:0pt;height:20.75pt;width:56.05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ascii="宋体" w:hAnsi="宋体"/>
                        <w:sz w:val="32"/>
                        <w:szCs w:val="32"/>
                      </w:rPr>
                    </w:pPr>
                    <w:r>
                      <w:rPr>
                        <w:rFonts w:hint="eastAsia" w:ascii="宋体" w:hAnsi="宋体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eastAsia" w:ascii="宋体" w:hAnsi="宋体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ascii="宋体" w:hAnsi="宋体"/>
                        <w:sz w:val="32"/>
                        <w:szCs w:val="32"/>
                      </w:rPr>
                      <w:t>- 4 -</w:t>
                    </w:r>
                    <w:r>
                      <w:rPr>
                        <w:rFonts w:hint="eastAsia" w:ascii="宋体" w:hAnsi="宋体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4C52"/>
    <w:rsid w:val="000154D3"/>
    <w:rsid w:val="000173EB"/>
    <w:rsid w:val="00037A53"/>
    <w:rsid w:val="00037D46"/>
    <w:rsid w:val="00041147"/>
    <w:rsid w:val="0004343D"/>
    <w:rsid w:val="00043823"/>
    <w:rsid w:val="00057BD4"/>
    <w:rsid w:val="00061743"/>
    <w:rsid w:val="0007180A"/>
    <w:rsid w:val="00092367"/>
    <w:rsid w:val="00092D7E"/>
    <w:rsid w:val="00096EDD"/>
    <w:rsid w:val="000A09F1"/>
    <w:rsid w:val="000A10FC"/>
    <w:rsid w:val="000A783C"/>
    <w:rsid w:val="000B179D"/>
    <w:rsid w:val="000B7B33"/>
    <w:rsid w:val="000C131C"/>
    <w:rsid w:val="000C56D3"/>
    <w:rsid w:val="000E58C0"/>
    <w:rsid w:val="000E7B65"/>
    <w:rsid w:val="000F1BD4"/>
    <w:rsid w:val="00100BF9"/>
    <w:rsid w:val="00101892"/>
    <w:rsid w:val="00122247"/>
    <w:rsid w:val="0013605A"/>
    <w:rsid w:val="00140272"/>
    <w:rsid w:val="0014071A"/>
    <w:rsid w:val="00163C9A"/>
    <w:rsid w:val="00170EB0"/>
    <w:rsid w:val="00174B37"/>
    <w:rsid w:val="00195623"/>
    <w:rsid w:val="001A35E7"/>
    <w:rsid w:val="001A486E"/>
    <w:rsid w:val="001A4881"/>
    <w:rsid w:val="001A6B20"/>
    <w:rsid w:val="001B4267"/>
    <w:rsid w:val="001B491D"/>
    <w:rsid w:val="001B7F77"/>
    <w:rsid w:val="001C1A90"/>
    <w:rsid w:val="001C267F"/>
    <w:rsid w:val="001C3243"/>
    <w:rsid w:val="001C62A8"/>
    <w:rsid w:val="001D2B65"/>
    <w:rsid w:val="001D5DB5"/>
    <w:rsid w:val="001E432D"/>
    <w:rsid w:val="001E56AF"/>
    <w:rsid w:val="001E7FC3"/>
    <w:rsid w:val="001F1166"/>
    <w:rsid w:val="001F7C82"/>
    <w:rsid w:val="0020577B"/>
    <w:rsid w:val="002112BB"/>
    <w:rsid w:val="0022127B"/>
    <w:rsid w:val="00227578"/>
    <w:rsid w:val="00232541"/>
    <w:rsid w:val="00242DDE"/>
    <w:rsid w:val="00245ED2"/>
    <w:rsid w:val="00251DD4"/>
    <w:rsid w:val="00264303"/>
    <w:rsid w:val="00275C3C"/>
    <w:rsid w:val="00280A68"/>
    <w:rsid w:val="00284376"/>
    <w:rsid w:val="002947CF"/>
    <w:rsid w:val="002A2B0F"/>
    <w:rsid w:val="002C113C"/>
    <w:rsid w:val="002C1913"/>
    <w:rsid w:val="002C4322"/>
    <w:rsid w:val="002D4147"/>
    <w:rsid w:val="002E1272"/>
    <w:rsid w:val="002F11DA"/>
    <w:rsid w:val="002F27F1"/>
    <w:rsid w:val="00300A21"/>
    <w:rsid w:val="003167F2"/>
    <w:rsid w:val="003202DA"/>
    <w:rsid w:val="00320F18"/>
    <w:rsid w:val="00326425"/>
    <w:rsid w:val="00326436"/>
    <w:rsid w:val="003403E9"/>
    <w:rsid w:val="0035272A"/>
    <w:rsid w:val="00357058"/>
    <w:rsid w:val="00363CE2"/>
    <w:rsid w:val="00365566"/>
    <w:rsid w:val="0037332B"/>
    <w:rsid w:val="003770A4"/>
    <w:rsid w:val="0039009A"/>
    <w:rsid w:val="00392825"/>
    <w:rsid w:val="003A0865"/>
    <w:rsid w:val="003A60B9"/>
    <w:rsid w:val="003B3C2B"/>
    <w:rsid w:val="003B4772"/>
    <w:rsid w:val="003B5102"/>
    <w:rsid w:val="003C6F1B"/>
    <w:rsid w:val="003D2BD2"/>
    <w:rsid w:val="003D3B52"/>
    <w:rsid w:val="003E2559"/>
    <w:rsid w:val="003E7287"/>
    <w:rsid w:val="003F5E78"/>
    <w:rsid w:val="003F6301"/>
    <w:rsid w:val="004052F3"/>
    <w:rsid w:val="00405FD6"/>
    <w:rsid w:val="00405FF1"/>
    <w:rsid w:val="00410D83"/>
    <w:rsid w:val="00415E09"/>
    <w:rsid w:val="0041783F"/>
    <w:rsid w:val="00435CFD"/>
    <w:rsid w:val="004409A3"/>
    <w:rsid w:val="00446DD2"/>
    <w:rsid w:val="00466BBF"/>
    <w:rsid w:val="00473194"/>
    <w:rsid w:val="00475696"/>
    <w:rsid w:val="00477B32"/>
    <w:rsid w:val="00485E1A"/>
    <w:rsid w:val="00486311"/>
    <w:rsid w:val="00493BDD"/>
    <w:rsid w:val="004A2000"/>
    <w:rsid w:val="004B2FB7"/>
    <w:rsid w:val="004B4192"/>
    <w:rsid w:val="004C0E2B"/>
    <w:rsid w:val="004C25C7"/>
    <w:rsid w:val="004D051E"/>
    <w:rsid w:val="004E59E3"/>
    <w:rsid w:val="004E6688"/>
    <w:rsid w:val="004F31E1"/>
    <w:rsid w:val="004F406F"/>
    <w:rsid w:val="004F68B5"/>
    <w:rsid w:val="005019A4"/>
    <w:rsid w:val="00511A30"/>
    <w:rsid w:val="00512393"/>
    <w:rsid w:val="00522913"/>
    <w:rsid w:val="00537051"/>
    <w:rsid w:val="00543FCB"/>
    <w:rsid w:val="00546D69"/>
    <w:rsid w:val="00583713"/>
    <w:rsid w:val="005872FC"/>
    <w:rsid w:val="00591AC3"/>
    <w:rsid w:val="00593961"/>
    <w:rsid w:val="005A53A1"/>
    <w:rsid w:val="005B0638"/>
    <w:rsid w:val="005B0BAB"/>
    <w:rsid w:val="005D6FE5"/>
    <w:rsid w:val="005E1E62"/>
    <w:rsid w:val="005F3070"/>
    <w:rsid w:val="005F5A9F"/>
    <w:rsid w:val="00605C54"/>
    <w:rsid w:val="00617659"/>
    <w:rsid w:val="0062206F"/>
    <w:rsid w:val="00637B37"/>
    <w:rsid w:val="00642453"/>
    <w:rsid w:val="00642FFC"/>
    <w:rsid w:val="0065184D"/>
    <w:rsid w:val="00656CEC"/>
    <w:rsid w:val="006670EE"/>
    <w:rsid w:val="00673EDF"/>
    <w:rsid w:val="00686D6F"/>
    <w:rsid w:val="006872E5"/>
    <w:rsid w:val="00691483"/>
    <w:rsid w:val="00691910"/>
    <w:rsid w:val="0069192E"/>
    <w:rsid w:val="00693A76"/>
    <w:rsid w:val="00696C23"/>
    <w:rsid w:val="006A7BED"/>
    <w:rsid w:val="006B6518"/>
    <w:rsid w:val="006C0C17"/>
    <w:rsid w:val="006D0C69"/>
    <w:rsid w:val="006D222E"/>
    <w:rsid w:val="006D3DA5"/>
    <w:rsid w:val="006D7558"/>
    <w:rsid w:val="006E0C8E"/>
    <w:rsid w:val="006E1DA8"/>
    <w:rsid w:val="006E57F6"/>
    <w:rsid w:val="006F6163"/>
    <w:rsid w:val="00713EFF"/>
    <w:rsid w:val="00715D38"/>
    <w:rsid w:val="00716CBE"/>
    <w:rsid w:val="00740F4A"/>
    <w:rsid w:val="00746224"/>
    <w:rsid w:val="00747706"/>
    <w:rsid w:val="00751C5C"/>
    <w:rsid w:val="00772996"/>
    <w:rsid w:val="00776E1A"/>
    <w:rsid w:val="00777B47"/>
    <w:rsid w:val="007805F5"/>
    <w:rsid w:val="007825F6"/>
    <w:rsid w:val="00786C61"/>
    <w:rsid w:val="00796DBA"/>
    <w:rsid w:val="007A230B"/>
    <w:rsid w:val="007A2752"/>
    <w:rsid w:val="007A71D7"/>
    <w:rsid w:val="007A765F"/>
    <w:rsid w:val="007B2335"/>
    <w:rsid w:val="007B41CD"/>
    <w:rsid w:val="007C0D60"/>
    <w:rsid w:val="007D2F7D"/>
    <w:rsid w:val="007E120A"/>
    <w:rsid w:val="007E2659"/>
    <w:rsid w:val="007E306E"/>
    <w:rsid w:val="007E73E7"/>
    <w:rsid w:val="007F2D5F"/>
    <w:rsid w:val="007F6384"/>
    <w:rsid w:val="007F68F5"/>
    <w:rsid w:val="007F6D1E"/>
    <w:rsid w:val="007F77FA"/>
    <w:rsid w:val="00800411"/>
    <w:rsid w:val="008068C8"/>
    <w:rsid w:val="008100F9"/>
    <w:rsid w:val="008275E5"/>
    <w:rsid w:val="008361B8"/>
    <w:rsid w:val="0084093D"/>
    <w:rsid w:val="00840F95"/>
    <w:rsid w:val="00850856"/>
    <w:rsid w:val="00850CE7"/>
    <w:rsid w:val="00853EC1"/>
    <w:rsid w:val="008812F7"/>
    <w:rsid w:val="00891283"/>
    <w:rsid w:val="00893FAB"/>
    <w:rsid w:val="00895D94"/>
    <w:rsid w:val="008978D6"/>
    <w:rsid w:val="008A24A1"/>
    <w:rsid w:val="008B1946"/>
    <w:rsid w:val="008B3718"/>
    <w:rsid w:val="008B4A91"/>
    <w:rsid w:val="008B4DE6"/>
    <w:rsid w:val="008C3BC3"/>
    <w:rsid w:val="008D306C"/>
    <w:rsid w:val="008D4066"/>
    <w:rsid w:val="008E003D"/>
    <w:rsid w:val="008E3A0E"/>
    <w:rsid w:val="008E6C69"/>
    <w:rsid w:val="008F0677"/>
    <w:rsid w:val="008F60F3"/>
    <w:rsid w:val="00900823"/>
    <w:rsid w:val="009056D3"/>
    <w:rsid w:val="00915853"/>
    <w:rsid w:val="009239ED"/>
    <w:rsid w:val="00945126"/>
    <w:rsid w:val="00953B6E"/>
    <w:rsid w:val="00960B34"/>
    <w:rsid w:val="00962B80"/>
    <w:rsid w:val="00965A0B"/>
    <w:rsid w:val="00967617"/>
    <w:rsid w:val="009831A2"/>
    <w:rsid w:val="0098448E"/>
    <w:rsid w:val="00992AD3"/>
    <w:rsid w:val="00997B6B"/>
    <w:rsid w:val="009A113E"/>
    <w:rsid w:val="009A1B8F"/>
    <w:rsid w:val="009A33D4"/>
    <w:rsid w:val="009A5F96"/>
    <w:rsid w:val="009B4266"/>
    <w:rsid w:val="009C3C47"/>
    <w:rsid w:val="009D01F6"/>
    <w:rsid w:val="009D4E2B"/>
    <w:rsid w:val="009E4488"/>
    <w:rsid w:val="009E5EF6"/>
    <w:rsid w:val="009F22E1"/>
    <w:rsid w:val="00A0061B"/>
    <w:rsid w:val="00A00672"/>
    <w:rsid w:val="00A00EBA"/>
    <w:rsid w:val="00A22370"/>
    <w:rsid w:val="00A30D93"/>
    <w:rsid w:val="00A32242"/>
    <w:rsid w:val="00A34B97"/>
    <w:rsid w:val="00A42BD0"/>
    <w:rsid w:val="00A42CF7"/>
    <w:rsid w:val="00A4331C"/>
    <w:rsid w:val="00A53C94"/>
    <w:rsid w:val="00A72D4E"/>
    <w:rsid w:val="00A73F97"/>
    <w:rsid w:val="00A819B0"/>
    <w:rsid w:val="00A835F5"/>
    <w:rsid w:val="00A87201"/>
    <w:rsid w:val="00A87B85"/>
    <w:rsid w:val="00A93ACB"/>
    <w:rsid w:val="00AA44C5"/>
    <w:rsid w:val="00AA6199"/>
    <w:rsid w:val="00AB2C4C"/>
    <w:rsid w:val="00AB3BC1"/>
    <w:rsid w:val="00AB6238"/>
    <w:rsid w:val="00AB6475"/>
    <w:rsid w:val="00AE3409"/>
    <w:rsid w:val="00AE65A0"/>
    <w:rsid w:val="00AF395A"/>
    <w:rsid w:val="00B01FCF"/>
    <w:rsid w:val="00B046B6"/>
    <w:rsid w:val="00B07481"/>
    <w:rsid w:val="00B108EF"/>
    <w:rsid w:val="00B130E1"/>
    <w:rsid w:val="00B22090"/>
    <w:rsid w:val="00B23B22"/>
    <w:rsid w:val="00B46DC8"/>
    <w:rsid w:val="00B5747C"/>
    <w:rsid w:val="00B60745"/>
    <w:rsid w:val="00B63C64"/>
    <w:rsid w:val="00B949F0"/>
    <w:rsid w:val="00B94E14"/>
    <w:rsid w:val="00B96373"/>
    <w:rsid w:val="00B969B3"/>
    <w:rsid w:val="00BA701F"/>
    <w:rsid w:val="00BB2B78"/>
    <w:rsid w:val="00BC2275"/>
    <w:rsid w:val="00BC2547"/>
    <w:rsid w:val="00BC39AB"/>
    <w:rsid w:val="00BC57BD"/>
    <w:rsid w:val="00BD7EC7"/>
    <w:rsid w:val="00BE613F"/>
    <w:rsid w:val="00BE7889"/>
    <w:rsid w:val="00BF025D"/>
    <w:rsid w:val="00BF2C1D"/>
    <w:rsid w:val="00BF4E54"/>
    <w:rsid w:val="00C01FAD"/>
    <w:rsid w:val="00C21151"/>
    <w:rsid w:val="00C2495B"/>
    <w:rsid w:val="00C25DEA"/>
    <w:rsid w:val="00C37E89"/>
    <w:rsid w:val="00C43FB0"/>
    <w:rsid w:val="00C45E2A"/>
    <w:rsid w:val="00C471A1"/>
    <w:rsid w:val="00C52C6A"/>
    <w:rsid w:val="00C558A2"/>
    <w:rsid w:val="00C608EA"/>
    <w:rsid w:val="00C65546"/>
    <w:rsid w:val="00C6595A"/>
    <w:rsid w:val="00C94DE0"/>
    <w:rsid w:val="00CA1103"/>
    <w:rsid w:val="00CA5765"/>
    <w:rsid w:val="00CA7FB1"/>
    <w:rsid w:val="00CB2C18"/>
    <w:rsid w:val="00CB5E46"/>
    <w:rsid w:val="00D24F7B"/>
    <w:rsid w:val="00D35702"/>
    <w:rsid w:val="00D44887"/>
    <w:rsid w:val="00D45887"/>
    <w:rsid w:val="00D47089"/>
    <w:rsid w:val="00D6075A"/>
    <w:rsid w:val="00D6672B"/>
    <w:rsid w:val="00D72F60"/>
    <w:rsid w:val="00D765DF"/>
    <w:rsid w:val="00D843C1"/>
    <w:rsid w:val="00D916B7"/>
    <w:rsid w:val="00D92043"/>
    <w:rsid w:val="00D96661"/>
    <w:rsid w:val="00DA4C52"/>
    <w:rsid w:val="00DA6EEA"/>
    <w:rsid w:val="00DB136E"/>
    <w:rsid w:val="00DB30B7"/>
    <w:rsid w:val="00DB7687"/>
    <w:rsid w:val="00DC3B88"/>
    <w:rsid w:val="00DE52F9"/>
    <w:rsid w:val="00DF0758"/>
    <w:rsid w:val="00DF1895"/>
    <w:rsid w:val="00DF4AD0"/>
    <w:rsid w:val="00E05D0B"/>
    <w:rsid w:val="00E1279C"/>
    <w:rsid w:val="00E14FD3"/>
    <w:rsid w:val="00E22DEB"/>
    <w:rsid w:val="00E243FB"/>
    <w:rsid w:val="00E270B2"/>
    <w:rsid w:val="00E34DDB"/>
    <w:rsid w:val="00E4216F"/>
    <w:rsid w:val="00E443C7"/>
    <w:rsid w:val="00E45559"/>
    <w:rsid w:val="00E511F7"/>
    <w:rsid w:val="00E55456"/>
    <w:rsid w:val="00E55A32"/>
    <w:rsid w:val="00E63865"/>
    <w:rsid w:val="00E7008E"/>
    <w:rsid w:val="00E775C4"/>
    <w:rsid w:val="00E82CBA"/>
    <w:rsid w:val="00E86AFE"/>
    <w:rsid w:val="00E86E0B"/>
    <w:rsid w:val="00EB6999"/>
    <w:rsid w:val="00EB7611"/>
    <w:rsid w:val="00EC05CC"/>
    <w:rsid w:val="00EC1719"/>
    <w:rsid w:val="00EC6052"/>
    <w:rsid w:val="00ED2451"/>
    <w:rsid w:val="00ED34CD"/>
    <w:rsid w:val="00EF017B"/>
    <w:rsid w:val="00F001E6"/>
    <w:rsid w:val="00F032CC"/>
    <w:rsid w:val="00F057D1"/>
    <w:rsid w:val="00F1149C"/>
    <w:rsid w:val="00F13F44"/>
    <w:rsid w:val="00F21DF0"/>
    <w:rsid w:val="00F3106E"/>
    <w:rsid w:val="00F339D4"/>
    <w:rsid w:val="00F3513C"/>
    <w:rsid w:val="00F426F7"/>
    <w:rsid w:val="00F6491D"/>
    <w:rsid w:val="00F67607"/>
    <w:rsid w:val="00F67689"/>
    <w:rsid w:val="00F676AD"/>
    <w:rsid w:val="00F83877"/>
    <w:rsid w:val="00F9153D"/>
    <w:rsid w:val="00F95DB1"/>
    <w:rsid w:val="00F97E7B"/>
    <w:rsid w:val="00FA0EA7"/>
    <w:rsid w:val="00FA4108"/>
    <w:rsid w:val="00FA6F4B"/>
    <w:rsid w:val="00FB02A3"/>
    <w:rsid w:val="00FC76D4"/>
    <w:rsid w:val="00FE01C0"/>
    <w:rsid w:val="00FE5273"/>
    <w:rsid w:val="00FE751B"/>
    <w:rsid w:val="00FF381E"/>
    <w:rsid w:val="02086AE3"/>
    <w:rsid w:val="05DB6ABF"/>
    <w:rsid w:val="0E370B89"/>
    <w:rsid w:val="1F252220"/>
    <w:rsid w:val="255A5D34"/>
    <w:rsid w:val="2FF95846"/>
    <w:rsid w:val="31E01C44"/>
    <w:rsid w:val="390A27D8"/>
    <w:rsid w:val="3C6B0157"/>
    <w:rsid w:val="3DAB17FE"/>
    <w:rsid w:val="419E55BD"/>
    <w:rsid w:val="52490FB5"/>
    <w:rsid w:val="537C03C2"/>
    <w:rsid w:val="550B20E0"/>
    <w:rsid w:val="633B48D0"/>
    <w:rsid w:val="67A173DA"/>
    <w:rsid w:val="67E26D63"/>
    <w:rsid w:val="69552546"/>
    <w:rsid w:val="759275BB"/>
    <w:rsid w:val="76D2366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5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4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7">
    <w:name w:val="Table Grid"/>
    <w:basedOn w:val="6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Emphasis"/>
    <w:basedOn w:val="8"/>
    <w:qFormat/>
    <w:uiPriority w:val="20"/>
    <w:rPr>
      <w:i/>
    </w:rPr>
  </w:style>
  <w:style w:type="character" w:styleId="10">
    <w:name w:val="Hyperlink"/>
    <w:qFormat/>
    <w:uiPriority w:val="0"/>
    <w:rPr>
      <w:color w:val="0000FF"/>
      <w:u w:val="single"/>
    </w:rPr>
  </w:style>
  <w:style w:type="character" w:customStyle="1" w:styleId="11">
    <w:name w:val="页眉 字符"/>
    <w:basedOn w:val="8"/>
    <w:link w:val="4"/>
    <w:qFormat/>
    <w:uiPriority w:val="99"/>
    <w:rPr>
      <w:sz w:val="18"/>
      <w:szCs w:val="18"/>
    </w:rPr>
  </w:style>
  <w:style w:type="character" w:customStyle="1" w:styleId="12">
    <w:name w:val="页脚 字符"/>
    <w:basedOn w:val="8"/>
    <w:link w:val="3"/>
    <w:qFormat/>
    <w:uiPriority w:val="0"/>
    <w:rPr>
      <w:sz w:val="18"/>
      <w:szCs w:val="18"/>
    </w:rPr>
  </w:style>
  <w:style w:type="paragraph" w:customStyle="1" w:styleId="13">
    <w:name w:val="列出段落1"/>
    <w:basedOn w:val="1"/>
    <w:qFormat/>
    <w:uiPriority w:val="99"/>
    <w:pPr>
      <w:ind w:firstLine="420" w:firstLineChars="200"/>
    </w:p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批注框文本 字符"/>
    <w:basedOn w:val="8"/>
    <w:link w:val="2"/>
    <w:semiHidden/>
    <w:qFormat/>
    <w:uiPriority w:val="99"/>
    <w:rPr>
      <w:rFonts w:ascii="Calibri" w:hAnsi="Calibri" w:eastAsia="宋体" w:cs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418</Words>
  <Characters>2388</Characters>
  <Lines>19</Lines>
  <Paragraphs>5</Paragraphs>
  <TotalTime>19</TotalTime>
  <ScaleCrop>false</ScaleCrop>
  <LinksUpToDate>false</LinksUpToDate>
  <CharactersWithSpaces>2801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2022-03-14T14:20:00Z</dcterms:created>
  <dc:creator>asus</dc:creator>
  <cp:lastModifiedBy>进进</cp:lastModifiedBy>
  <dcterms:modified xsi:type="dcterms:W3CDTF">2022-04-15T08:59:11Z</dcterms:modified>
  <cp:revision>437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SaveFontToCloudKey">
    <vt:lpwstr>24671093_embed</vt:lpwstr>
  </property>
  <property fmtid="{D5CDD505-2E9C-101B-9397-08002B2CF9AE}" pid="3" name="KSOProductBuildVer">
    <vt:lpwstr>2052-11.1.0.11636</vt:lpwstr>
  </property>
  <property fmtid="{D5CDD505-2E9C-101B-9397-08002B2CF9AE}" pid="4" name="ICV">
    <vt:lpwstr>8549CD47E16347A6A70A8ADA17ADFEF9</vt:lpwstr>
  </property>
  <property fmtid="{D5CDD505-2E9C-101B-9397-08002B2CF9AE}" pid="5" name="commondata">
    <vt:lpwstr>eyJoZGlkIjoiMGIyMmMyZTY2ODI5NDJjNmRjZDY1NzBiNWFmMmY2NTQifQ==</vt:lpwstr>
  </property>
</Properties>
</file>