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XX专业2024年人才培养方案论证意见表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学院（盖章）：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3432"/>
        <w:gridCol w:w="324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总体判断此培养方案是否可行且符合以下要求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此方案是否贯彻了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立德树人、应用型人才培养、个性化培养、五育并举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的基本原则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此专业是否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进行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充分调研，形成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调研需求报告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此培养方案是否具有明确培养目标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此培养方案是否按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《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韶关学院关于修订2024年本科人才培养方案的指导意见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开设相关的通识必修课、通识选修课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培养方案中设置的学时、学分、毕业要求标准学分，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是否达到《普通高等学校本科专业类教学质量国家标准》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培养方案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中课程体系支撑毕业要求及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毕业要求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支撑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培养目标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是否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合理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此培养方案实践教学环节学分占比是否符合要求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若专业认证和国家标准中均未提及，按以下要求设置实践学分学时：人文社科类专业，实践教学学分占总学分不少于20%；理工农医类专业，实践教学学分占总学分不少于25%；高职类专业，实践教学学分占总学分不少于50%；师范类专业学生教育实践原则上不少于1个学期（18周）；其他各专业原则上必须到相关实习单位进行为期不少于12周的实习。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此培养方案设置学位课程表格与教学活动安排表中标识是否一致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此培养方案先修后修关系是否具备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合理性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□符合 □基本符合□不符合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  <w:jc w:val="center"/>
        </w:trPr>
        <w:tc>
          <w:tcPr>
            <w:tcW w:w="875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论证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意见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2024年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参与论证人员姓名</w:t>
            </w:r>
          </w:p>
        </w:tc>
        <w:tc>
          <w:tcPr>
            <w:tcW w:w="37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251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7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511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7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511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7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511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7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511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7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511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0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tabs>
          <w:tab w:val="left" w:pos="1026"/>
        </w:tabs>
        <w:bidi w:val="0"/>
        <w:jc w:val="right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YmNkMGJhZDQyOWFmMWVkZjU4MTdjZmMwNDFiMzUifQ=="/>
  </w:docVars>
  <w:rsids>
    <w:rsidRoot w:val="795C5892"/>
    <w:rsid w:val="01742077"/>
    <w:rsid w:val="0C022E8F"/>
    <w:rsid w:val="1C35271B"/>
    <w:rsid w:val="1D4C781B"/>
    <w:rsid w:val="22D95913"/>
    <w:rsid w:val="323D1D2D"/>
    <w:rsid w:val="352C3F1A"/>
    <w:rsid w:val="359963AD"/>
    <w:rsid w:val="4BB274CD"/>
    <w:rsid w:val="580C5702"/>
    <w:rsid w:val="63AA460F"/>
    <w:rsid w:val="66B24460"/>
    <w:rsid w:val="66DE094A"/>
    <w:rsid w:val="74213B7A"/>
    <w:rsid w:val="795C5892"/>
    <w:rsid w:val="7F1D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1 Char"/>
    <w:basedOn w:val="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2023-10-20T09:13:00Z</dcterms:created>
  <dc:creator>大理柿子</dc:creator>
  <cp:lastModifiedBy>Y</cp:lastModifiedBy>
  <dcterms:modified xsi:type="dcterms:W3CDTF">2024-03-27T09:21:12Z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E4368D7CED22477593A04BB1CA11E7AA_11</vt:lpwstr>
  </property>
</Properties>
</file>