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CCD" w:rsidRDefault="00BF2A3F">
      <w:pPr>
        <w:pStyle w:val="a3"/>
        <w:spacing w:line="360" w:lineRule="atLeast"/>
        <w:jc w:val="center"/>
        <w:rPr>
          <w:color w:val="000000"/>
          <w:shd w:val="clear" w:color="auto" w:fill="FFFFFF"/>
        </w:rPr>
      </w:pPr>
      <w:r>
        <w:rPr>
          <w:rFonts w:ascii="黑体" w:eastAsia="黑体" w:hAnsi="黑体" w:cs="黑体" w:hint="eastAsia"/>
          <w:sz w:val="28"/>
          <w:szCs w:val="28"/>
        </w:rPr>
        <w:t>韶关学院商学院国际经济与贸易专业辅修学位人才培养方案</w:t>
      </w:r>
      <w:r>
        <w:rPr>
          <w:rFonts w:ascii="黑体" w:eastAsia="黑体" w:hAnsi="黑体" w:cs="黑体" w:hint="eastAsia"/>
          <w:sz w:val="28"/>
          <w:szCs w:val="28"/>
        </w:rPr>
        <w:br/>
      </w:r>
    </w:p>
    <w:p w:rsidR="00C51EB6" w:rsidRDefault="00BF2A3F">
      <w:pPr>
        <w:pStyle w:val="a3"/>
        <w:spacing w:line="360" w:lineRule="atLeast"/>
        <w:jc w:val="center"/>
      </w:pPr>
      <w:r>
        <w:rPr>
          <w:rFonts w:hint="eastAsia"/>
          <w:color w:val="000000"/>
          <w:shd w:val="clear" w:color="auto" w:fill="FFFFFF"/>
        </w:rPr>
        <w:t>（专业代码：020</w:t>
      </w:r>
      <w:r>
        <w:rPr>
          <w:color w:val="000000"/>
          <w:shd w:val="clear" w:color="auto" w:fill="FFFFFF"/>
        </w:rPr>
        <w:t>401</w:t>
      </w:r>
      <w:r>
        <w:rPr>
          <w:rFonts w:hint="eastAsia"/>
          <w:color w:val="000000"/>
          <w:shd w:val="clear" w:color="auto" w:fill="FFFFFF"/>
        </w:rPr>
        <w:t xml:space="preserve"> ，英文名：International </w:t>
      </w:r>
      <w:r>
        <w:rPr>
          <w:color w:val="000000"/>
          <w:shd w:val="clear" w:color="auto" w:fill="FFFFFF"/>
        </w:rPr>
        <w:t>Economics</w:t>
      </w:r>
      <w:r>
        <w:rPr>
          <w:rFonts w:hint="eastAsia"/>
          <w:color w:val="000000"/>
          <w:shd w:val="clear" w:color="auto" w:fill="FFFFFF"/>
        </w:rPr>
        <w:t xml:space="preserve"> and Trade）</w:t>
      </w:r>
    </w:p>
    <w:p w:rsidR="00C51EB6" w:rsidRDefault="00BF2A3F">
      <w:pPr>
        <w:pStyle w:val="a3"/>
        <w:spacing w:line="360" w:lineRule="atLeast"/>
        <w:jc w:val="center"/>
      </w:pPr>
      <w:r>
        <w:rPr>
          <w:rFonts w:hint="eastAsia"/>
          <w:color w:val="000000"/>
          <w:shd w:val="clear" w:color="auto" w:fill="FFFFFF"/>
        </w:rPr>
        <w:t>修订负责人：程 杨    审核人：应益华</w:t>
      </w:r>
    </w:p>
    <w:p w:rsidR="008B14DB" w:rsidRPr="008B14DB" w:rsidRDefault="00BF2A3F" w:rsidP="008B14DB">
      <w:pPr>
        <w:spacing w:line="264" w:lineRule="auto"/>
        <w:ind w:firstLineChars="300" w:firstLine="723"/>
        <w:rPr>
          <w:rFonts w:ascii="仿宋" w:eastAsia="仿宋" w:hAnsi="仿宋" w:cs="仿宋"/>
          <w:b/>
          <w:color w:val="FF0000"/>
          <w:sz w:val="24"/>
        </w:rPr>
      </w:pPr>
      <w:r w:rsidRPr="008B14DB">
        <w:rPr>
          <w:rFonts w:ascii="仿宋" w:eastAsia="仿宋" w:hAnsi="仿宋" w:cs="仿宋" w:hint="eastAsia"/>
          <w:b/>
          <w:color w:val="FF0000"/>
          <w:sz w:val="24"/>
        </w:rPr>
        <w:t>一</w:t>
      </w:r>
      <w:r w:rsidR="008B14DB" w:rsidRPr="008B14DB">
        <w:rPr>
          <w:rFonts w:ascii="仿宋" w:eastAsia="仿宋" w:hAnsi="仿宋" w:cs="仿宋" w:hint="eastAsia"/>
          <w:b/>
          <w:color w:val="FF0000"/>
          <w:sz w:val="24"/>
        </w:rPr>
        <w:t>、培养</w:t>
      </w:r>
      <w:r w:rsidRPr="008B14DB">
        <w:rPr>
          <w:rFonts w:ascii="仿宋" w:eastAsia="仿宋" w:hAnsi="仿宋" w:cs="仿宋" w:hint="eastAsia"/>
          <w:b/>
          <w:color w:val="FF0000"/>
          <w:sz w:val="24"/>
        </w:rPr>
        <w:t>目标</w:t>
      </w:r>
    </w:p>
    <w:p w:rsidR="009337DF" w:rsidRDefault="00BF2A3F" w:rsidP="008B14DB">
      <w:pPr>
        <w:spacing w:line="264" w:lineRule="auto"/>
        <w:ind w:firstLineChars="300" w:firstLine="720"/>
        <w:rPr>
          <w:rFonts w:ascii="仿宋" w:eastAsia="仿宋" w:hAnsi="仿宋" w:cs="仿宋" w:hint="eastAsia"/>
          <w:sz w:val="24"/>
        </w:rPr>
      </w:pPr>
      <w:r>
        <w:rPr>
          <w:rFonts w:ascii="仿宋" w:eastAsia="仿宋" w:hAnsi="仿宋" w:cs="仿宋" w:hint="eastAsia"/>
          <w:sz w:val="24"/>
        </w:rPr>
        <w:t>本专业主要学习经济学、管理学、统计学等方面的基本理论和基础知识，掌握国际贸易专业知识和技术技能。培养具有沟通协调能力和商业职业素养的国际贸易专业人才，能对经贸实际问题进行分析，初步形成经济学思维；具有较强的外贸实践操作技能和社会实践能力，能够从事国际货物贸易、国际贸易单证、国际贸易跟单、跨境电子商务、国际市场营销策划、国际商务谈判等工作。 具体要求如下：</w:t>
      </w:r>
      <w:r>
        <w:rPr>
          <w:rFonts w:ascii="仿宋" w:eastAsia="仿宋" w:hAnsi="仿宋" w:cs="仿宋" w:hint="eastAsia"/>
          <w:sz w:val="24"/>
        </w:rPr>
        <w:br/>
        <w:t xml:space="preserve">    1.掌握经济学、管理学基本原理以及国际经济与贸易专业的基本知识和必要的专门知识。</w:t>
      </w:r>
      <w:r>
        <w:rPr>
          <w:rFonts w:ascii="仿宋" w:eastAsia="仿宋" w:hAnsi="仿宋" w:cs="仿宋" w:hint="eastAsia"/>
          <w:sz w:val="24"/>
        </w:rPr>
        <w:br/>
        <w:t xml:space="preserve">    2.能运用适当的分析方法对国际经济与贸易实际问题进行分析；能使用国际贸易实践所需的文献检索技术、信息查询方法和计算机工具；能有效地沟通，能运用英语或其他外语从事国际贸易方面的工作；具有较强的外贸实践操作技能和社会实践能力，具有创业意识、创业精神，掌握基本的创业技能和创业能力。</w:t>
      </w:r>
      <w:r>
        <w:rPr>
          <w:rFonts w:ascii="仿宋" w:eastAsia="仿宋" w:hAnsi="仿宋" w:cs="仿宋" w:hint="eastAsia"/>
          <w:sz w:val="24"/>
        </w:rPr>
        <w:br/>
        <w:t xml:space="preserve">    3.能够胜任批发业和零售业中的国际商贸、跨境电商等涉外企业的商务专业技术人员等岗位的工作或能够胜任政府部门、金融机构等与国际贸易业务相关的工作。</w:t>
      </w:r>
      <w:r>
        <w:rPr>
          <w:rFonts w:ascii="仿宋" w:eastAsia="仿宋" w:hAnsi="仿宋" w:cs="仿宋" w:hint="eastAsia"/>
          <w:sz w:val="24"/>
        </w:rPr>
        <w:br/>
        <w:t xml:space="preserve">  </w:t>
      </w:r>
      <w:r>
        <w:rPr>
          <w:rFonts w:ascii="仿宋" w:eastAsia="仿宋" w:hAnsi="仿宋" w:cs="仿宋"/>
          <w:sz w:val="24"/>
        </w:rPr>
        <w:t xml:space="preserve"> </w:t>
      </w:r>
      <w:bookmarkStart w:id="0" w:name="_GoBack"/>
      <w:bookmarkEnd w:id="0"/>
      <w:r>
        <w:rPr>
          <w:rFonts w:ascii="仿宋" w:eastAsia="仿宋" w:hAnsi="仿宋" w:cs="仿宋"/>
          <w:sz w:val="24"/>
        </w:rPr>
        <w:t xml:space="preserve"> </w:t>
      </w:r>
      <w:r w:rsidRPr="00830E2D">
        <w:rPr>
          <w:rFonts w:ascii="仿宋" w:eastAsia="仿宋" w:hAnsi="仿宋" w:cs="仿宋" w:hint="eastAsia"/>
          <w:b/>
          <w:sz w:val="24"/>
        </w:rPr>
        <w:t>二、学制</w:t>
      </w:r>
      <w:r>
        <w:rPr>
          <w:rFonts w:ascii="仿宋" w:eastAsia="仿宋" w:hAnsi="仿宋" w:cs="仿宋" w:hint="eastAsia"/>
          <w:sz w:val="24"/>
        </w:rPr>
        <w:br/>
        <w:t xml:space="preserve">    三年</w:t>
      </w:r>
      <w:r>
        <w:rPr>
          <w:rFonts w:ascii="仿宋" w:eastAsia="仿宋" w:hAnsi="仿宋" w:cs="仿宋" w:hint="eastAsia"/>
          <w:sz w:val="24"/>
        </w:rPr>
        <w:br/>
      </w:r>
      <w:r>
        <w:rPr>
          <w:rFonts w:ascii="仿宋" w:eastAsia="仿宋" w:hAnsi="仿宋" w:cs="仿宋"/>
          <w:sz w:val="24"/>
        </w:rPr>
        <w:t xml:space="preserve">  </w:t>
      </w:r>
      <w:r w:rsidRPr="00830E2D">
        <w:rPr>
          <w:rFonts w:ascii="仿宋" w:eastAsia="仿宋" w:hAnsi="仿宋" w:cs="仿宋"/>
          <w:b/>
          <w:sz w:val="24"/>
        </w:rPr>
        <w:t xml:space="preserve">  </w:t>
      </w:r>
      <w:r w:rsidRPr="00830E2D">
        <w:rPr>
          <w:rFonts w:ascii="仿宋" w:eastAsia="仿宋" w:hAnsi="仿宋" w:cs="仿宋" w:hint="eastAsia"/>
          <w:b/>
          <w:sz w:val="24"/>
        </w:rPr>
        <w:t>三、修读条件</w:t>
      </w:r>
      <w:r>
        <w:rPr>
          <w:rFonts w:ascii="仿宋" w:eastAsia="仿宋" w:hAnsi="仿宋" w:cs="仿宋" w:hint="eastAsia"/>
          <w:sz w:val="24"/>
        </w:rPr>
        <w:br/>
        <w:t xml:space="preserve">    全校全日制本科</w:t>
      </w:r>
      <w:r>
        <w:rPr>
          <w:rFonts w:ascii="仿宋" w:eastAsia="仿宋" w:hAnsi="仿宋" w:cs="仿宋"/>
          <w:sz w:val="24"/>
        </w:rPr>
        <w:t>202</w:t>
      </w:r>
      <w:r w:rsidR="00D91D1D">
        <w:rPr>
          <w:rFonts w:ascii="仿宋" w:eastAsia="仿宋" w:hAnsi="仿宋" w:cs="仿宋"/>
          <w:sz w:val="24"/>
        </w:rPr>
        <w:t>1</w:t>
      </w:r>
      <w:r>
        <w:rPr>
          <w:rFonts w:ascii="仿宋" w:eastAsia="仿宋" w:hAnsi="仿宋" w:cs="仿宋" w:hint="eastAsia"/>
          <w:sz w:val="24"/>
        </w:rPr>
        <w:t>级学生，思想素质良好，学习成绩优良，有较强的学习能力，且对辅修学位有兴趣者。</w:t>
      </w:r>
    </w:p>
    <w:p w:rsidR="00C51EB6" w:rsidRDefault="00BF2A3F" w:rsidP="009337DF">
      <w:pPr>
        <w:spacing w:line="264" w:lineRule="auto"/>
        <w:ind w:firstLineChars="300" w:firstLine="723"/>
        <w:rPr>
          <w:rFonts w:ascii="仿宋" w:eastAsia="仿宋" w:hAnsi="仿宋" w:cs="仿宋"/>
          <w:sz w:val="24"/>
        </w:rPr>
      </w:pPr>
      <w:r w:rsidRPr="00830E2D">
        <w:rPr>
          <w:rFonts w:ascii="仿宋" w:eastAsia="仿宋" w:hAnsi="仿宋" w:cs="仿宋" w:hint="eastAsia"/>
          <w:b/>
          <w:sz w:val="24"/>
        </w:rPr>
        <w:t>四、学分要求</w:t>
      </w:r>
      <w:r>
        <w:rPr>
          <w:rFonts w:ascii="仿宋" w:eastAsia="仿宋" w:hAnsi="仿宋" w:cs="仿宋" w:hint="eastAsia"/>
          <w:sz w:val="24"/>
        </w:rPr>
        <w:br/>
        <w:t xml:space="preserve">    本辅修学位要求在三年内，修读附表1列举的全部课程且考核合格，达到60学分。（详见附表1：国际经济与贸易</w:t>
      </w:r>
      <w:r>
        <w:rPr>
          <w:rFonts w:ascii="仿宋" w:eastAsia="仿宋" w:hAnsi="仿宋" w:cs="仿宋"/>
          <w:sz w:val="24"/>
        </w:rPr>
        <w:t>专业</w:t>
      </w:r>
      <w:r>
        <w:rPr>
          <w:rFonts w:ascii="仿宋" w:eastAsia="仿宋" w:hAnsi="仿宋" w:cs="仿宋" w:hint="eastAsia"/>
          <w:sz w:val="24"/>
        </w:rPr>
        <w:t>辅修学位</w:t>
      </w:r>
      <w:r>
        <w:rPr>
          <w:rFonts w:ascii="仿宋" w:eastAsia="仿宋" w:hAnsi="仿宋" w:cs="仿宋"/>
          <w:sz w:val="24"/>
        </w:rPr>
        <w:t>课程</w:t>
      </w:r>
      <w:r>
        <w:rPr>
          <w:rFonts w:ascii="仿宋" w:eastAsia="仿宋" w:hAnsi="仿宋" w:cs="仿宋" w:hint="eastAsia"/>
          <w:sz w:val="24"/>
        </w:rPr>
        <w:t>一览表）。</w:t>
      </w:r>
      <w:r>
        <w:rPr>
          <w:rFonts w:ascii="仿宋" w:eastAsia="仿宋" w:hAnsi="仿宋" w:cs="仿宋" w:hint="eastAsia"/>
          <w:sz w:val="24"/>
        </w:rPr>
        <w:br/>
      </w:r>
      <w:r>
        <w:rPr>
          <w:rFonts w:ascii="仿宋" w:eastAsia="仿宋" w:hAnsi="仿宋" w:cs="仿宋"/>
          <w:sz w:val="24"/>
        </w:rPr>
        <w:t xml:space="preserve">   </w:t>
      </w:r>
      <w:r w:rsidRPr="00830E2D">
        <w:rPr>
          <w:rFonts w:ascii="仿宋" w:eastAsia="仿宋" w:hAnsi="仿宋" w:cs="仿宋"/>
          <w:b/>
          <w:sz w:val="24"/>
        </w:rPr>
        <w:t xml:space="preserve"> </w:t>
      </w:r>
      <w:r w:rsidRPr="00830E2D">
        <w:rPr>
          <w:rFonts w:ascii="仿宋" w:eastAsia="仿宋" w:hAnsi="仿宋" w:cs="仿宋" w:hint="eastAsia"/>
          <w:b/>
          <w:sz w:val="24"/>
        </w:rPr>
        <w:t>五、毕业标准</w:t>
      </w:r>
    </w:p>
    <w:p w:rsidR="00C51EB6" w:rsidRDefault="00BF2A3F" w:rsidP="008B14DB">
      <w:pPr>
        <w:spacing w:line="264" w:lineRule="auto"/>
        <w:ind w:firstLineChars="200" w:firstLine="480"/>
        <w:rPr>
          <w:rFonts w:ascii="仿宋" w:eastAsia="仿宋" w:hAnsi="仿宋" w:cs="仿宋"/>
          <w:sz w:val="24"/>
        </w:rPr>
      </w:pPr>
      <w:r>
        <w:rPr>
          <w:rFonts w:ascii="仿宋" w:eastAsia="仿宋" w:hAnsi="仿宋" w:cs="仿宋" w:hint="eastAsia"/>
          <w:sz w:val="24"/>
        </w:rPr>
        <w:t>按教学计划修满全部课程，达到此培养方案规定的学分要求60学分，毕业论文答辩合格，且在德、体、美等方面达到学校规定的基本要求，方准予毕业。在能获得主修专业毕业资格的前提下，由学校颁发辅修专业证书。</w:t>
      </w:r>
    </w:p>
    <w:p w:rsidR="00C51EB6" w:rsidRPr="00830E2D" w:rsidRDefault="00BF2A3F" w:rsidP="008B14DB">
      <w:pPr>
        <w:spacing w:line="264" w:lineRule="auto"/>
        <w:ind w:firstLineChars="200" w:firstLine="482"/>
        <w:rPr>
          <w:rFonts w:ascii="仿宋" w:eastAsia="仿宋" w:hAnsi="仿宋" w:cs="仿宋"/>
          <w:b/>
          <w:sz w:val="24"/>
        </w:rPr>
      </w:pPr>
      <w:r w:rsidRPr="008B14DB">
        <w:rPr>
          <w:rFonts w:ascii="仿宋" w:eastAsia="仿宋" w:hAnsi="仿宋" w:cs="仿宋" w:hint="eastAsia"/>
          <w:b/>
          <w:color w:val="FF0000"/>
          <w:sz w:val="24"/>
        </w:rPr>
        <w:t>六、学位授予</w:t>
      </w:r>
    </w:p>
    <w:p w:rsidR="00C51EB6" w:rsidRDefault="00BF2A3F" w:rsidP="008B14DB">
      <w:pPr>
        <w:spacing w:line="264" w:lineRule="auto"/>
        <w:ind w:firstLineChars="200" w:firstLine="480"/>
        <w:rPr>
          <w:rFonts w:ascii="仿宋" w:eastAsia="仿宋" w:hAnsi="仿宋" w:cs="仿宋"/>
          <w:sz w:val="24"/>
        </w:rPr>
      </w:pPr>
      <w:r>
        <w:rPr>
          <w:rFonts w:ascii="仿宋" w:eastAsia="仿宋" w:hAnsi="仿宋" w:cs="仿宋" w:hint="eastAsia"/>
          <w:sz w:val="24"/>
        </w:rPr>
        <w:t>达到辅修专业学位授予条件的要求，且在能获得主修专业学位资格的前提下，由学校授予辅修专业学位，颁发辅修专业学位证书。</w:t>
      </w:r>
    </w:p>
    <w:p w:rsidR="00830E2D" w:rsidRDefault="00830E2D">
      <w:pPr>
        <w:widowControl/>
        <w:spacing w:line="360" w:lineRule="exact"/>
        <w:jc w:val="center"/>
        <w:rPr>
          <w:rFonts w:ascii="宋体" w:eastAsia="宋体" w:hAnsi="宋体" w:cs="宋体"/>
          <w:b/>
          <w:bCs/>
          <w:kern w:val="0"/>
          <w:sz w:val="24"/>
          <w:lang w:val="zh-CN"/>
        </w:rPr>
      </w:pPr>
    </w:p>
    <w:p w:rsidR="008B14DB" w:rsidRDefault="008B14DB">
      <w:pPr>
        <w:widowControl/>
        <w:spacing w:line="360" w:lineRule="exact"/>
        <w:jc w:val="center"/>
        <w:rPr>
          <w:rFonts w:ascii="宋体" w:eastAsia="宋体" w:hAnsi="宋体" w:cs="宋体"/>
          <w:b/>
          <w:bCs/>
          <w:kern w:val="0"/>
          <w:sz w:val="24"/>
          <w:lang w:val="zh-CN"/>
        </w:rPr>
      </w:pPr>
    </w:p>
    <w:p w:rsidR="00C51EB6" w:rsidRDefault="00BF2A3F">
      <w:pPr>
        <w:widowControl/>
        <w:spacing w:line="360" w:lineRule="exact"/>
        <w:jc w:val="center"/>
        <w:rPr>
          <w:rFonts w:ascii="宋体" w:eastAsia="宋体" w:hAnsi="宋体" w:cs="宋体"/>
          <w:b/>
          <w:bCs/>
          <w:kern w:val="0"/>
          <w:sz w:val="24"/>
          <w:lang w:val="zh-CN"/>
        </w:rPr>
      </w:pPr>
      <w:r>
        <w:rPr>
          <w:rFonts w:ascii="宋体" w:eastAsia="宋体" w:hAnsi="宋体" w:cs="宋体"/>
          <w:b/>
          <w:bCs/>
          <w:kern w:val="0"/>
          <w:sz w:val="24"/>
          <w:lang w:val="zh-CN"/>
        </w:rPr>
        <w:lastRenderedPageBreak/>
        <w:t>附表1:</w:t>
      </w:r>
      <w:r>
        <w:rPr>
          <w:rFonts w:ascii="宋体" w:eastAsia="宋体" w:hAnsi="宋体" w:cs="宋体" w:hint="eastAsia"/>
          <w:b/>
          <w:bCs/>
          <w:kern w:val="0"/>
          <w:sz w:val="24"/>
          <w:lang w:val="zh-CN"/>
        </w:rPr>
        <w:t>国际经济与贸易专业辅修学位课程一览表</w:t>
      </w:r>
    </w:p>
    <w:tbl>
      <w:tblPr>
        <w:tblW w:w="8470" w:type="dxa"/>
        <w:jc w:val="center"/>
        <w:tblLayout w:type="fixed"/>
        <w:tblCellMar>
          <w:top w:w="15" w:type="dxa"/>
          <w:bottom w:w="15" w:type="dxa"/>
        </w:tblCellMar>
        <w:tblLook w:val="04A0" w:firstRow="1" w:lastRow="0" w:firstColumn="1" w:lastColumn="0" w:noHBand="0" w:noVBand="1"/>
      </w:tblPr>
      <w:tblGrid>
        <w:gridCol w:w="465"/>
        <w:gridCol w:w="750"/>
        <w:gridCol w:w="2520"/>
        <w:gridCol w:w="665"/>
        <w:gridCol w:w="780"/>
        <w:gridCol w:w="1180"/>
        <w:gridCol w:w="1460"/>
        <w:gridCol w:w="650"/>
      </w:tblGrid>
      <w:tr w:rsidR="00C51EB6">
        <w:trPr>
          <w:trHeight w:val="360"/>
          <w:jc w:val="center"/>
        </w:trPr>
        <w:tc>
          <w:tcPr>
            <w:tcW w:w="465" w:type="dxa"/>
            <w:vMerge w:val="restart"/>
            <w:tcBorders>
              <w:top w:val="single" w:sz="8" w:space="0" w:color="auto"/>
              <w:left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序号</w:t>
            </w:r>
          </w:p>
        </w:tc>
        <w:tc>
          <w:tcPr>
            <w:tcW w:w="750" w:type="dxa"/>
            <w:vMerge w:val="restart"/>
            <w:tcBorders>
              <w:top w:val="single" w:sz="8" w:space="0" w:color="auto"/>
              <w:left w:val="single" w:sz="8" w:space="0" w:color="auto"/>
              <w:right w:val="single" w:sz="8" w:space="0" w:color="auto"/>
            </w:tcBorders>
            <w:vAlign w:val="center"/>
          </w:tcPr>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2520" w:type="dxa"/>
            <w:vMerge w:val="restart"/>
            <w:tcBorders>
              <w:top w:val="single" w:sz="8" w:space="0" w:color="auto"/>
              <w:left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65" w:type="dxa"/>
            <w:vMerge w:val="restart"/>
            <w:tcBorders>
              <w:top w:val="single" w:sz="8" w:space="0" w:color="auto"/>
              <w:left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3420" w:type="dxa"/>
            <w:gridSpan w:val="3"/>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学时安排</w:t>
            </w:r>
          </w:p>
        </w:tc>
        <w:tc>
          <w:tcPr>
            <w:tcW w:w="650" w:type="dxa"/>
            <w:vMerge w:val="restart"/>
            <w:tcBorders>
              <w:top w:val="single" w:sz="8" w:space="0" w:color="auto"/>
              <w:left w:val="single" w:sz="8" w:space="0" w:color="auto"/>
              <w:right w:val="single" w:sz="8" w:space="0" w:color="auto"/>
            </w:tcBorders>
            <w:vAlign w:val="center"/>
          </w:tcPr>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开课</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学期</w:t>
            </w:r>
          </w:p>
        </w:tc>
      </w:tr>
      <w:tr w:rsidR="00C51EB6">
        <w:trPr>
          <w:trHeight w:val="360"/>
          <w:jc w:val="center"/>
        </w:trPr>
        <w:tc>
          <w:tcPr>
            <w:tcW w:w="465" w:type="dxa"/>
            <w:vMerge/>
            <w:tcBorders>
              <w:left w:val="single" w:sz="8" w:space="0" w:color="auto"/>
              <w:bottom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bCs/>
                <w:kern w:val="0"/>
                <w:sz w:val="18"/>
                <w:szCs w:val="18"/>
              </w:rPr>
            </w:pPr>
          </w:p>
        </w:tc>
        <w:tc>
          <w:tcPr>
            <w:tcW w:w="750" w:type="dxa"/>
            <w:vMerge/>
            <w:tcBorders>
              <w:left w:val="single" w:sz="8" w:space="0" w:color="auto"/>
              <w:bottom w:val="single" w:sz="8" w:space="0" w:color="auto"/>
              <w:right w:val="single" w:sz="8" w:space="0" w:color="auto"/>
            </w:tcBorders>
            <w:vAlign w:val="center"/>
          </w:tcPr>
          <w:p w:rsidR="00C51EB6" w:rsidRDefault="00C51EB6">
            <w:pPr>
              <w:widowControl/>
              <w:jc w:val="center"/>
              <w:rPr>
                <w:rFonts w:ascii="Times New Roman" w:hAnsi="Times New Roman" w:cs="Times New Roman"/>
                <w:b/>
                <w:bCs/>
                <w:kern w:val="0"/>
                <w:sz w:val="18"/>
                <w:szCs w:val="18"/>
              </w:rPr>
            </w:pPr>
          </w:p>
        </w:tc>
        <w:tc>
          <w:tcPr>
            <w:tcW w:w="2520" w:type="dxa"/>
            <w:vMerge/>
            <w:tcBorders>
              <w:left w:val="single" w:sz="8" w:space="0" w:color="auto"/>
              <w:bottom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bCs/>
                <w:kern w:val="0"/>
                <w:sz w:val="18"/>
                <w:szCs w:val="18"/>
              </w:rPr>
            </w:pPr>
          </w:p>
        </w:tc>
        <w:tc>
          <w:tcPr>
            <w:tcW w:w="665" w:type="dxa"/>
            <w:vMerge/>
            <w:tcBorders>
              <w:left w:val="single" w:sz="8" w:space="0" w:color="auto"/>
              <w:bottom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bCs/>
                <w:kern w:val="0"/>
                <w:sz w:val="18"/>
                <w:szCs w:val="18"/>
              </w:rPr>
            </w:pP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总学时</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其中：讲授</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其中：实践实训</w:t>
            </w:r>
          </w:p>
        </w:tc>
        <w:tc>
          <w:tcPr>
            <w:tcW w:w="650" w:type="dxa"/>
            <w:vMerge/>
            <w:tcBorders>
              <w:left w:val="single" w:sz="8" w:space="0" w:color="auto"/>
              <w:bottom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bCs/>
                <w:kern w:val="0"/>
                <w:sz w:val="18"/>
                <w:szCs w:val="18"/>
              </w:rPr>
            </w:pPr>
          </w:p>
        </w:tc>
      </w:tr>
      <w:tr w:rsidR="00C51EB6" w:rsidTr="00830E2D">
        <w:trPr>
          <w:trHeight w:val="65"/>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w:t>
            </w:r>
          </w:p>
        </w:tc>
        <w:tc>
          <w:tcPr>
            <w:tcW w:w="750" w:type="dxa"/>
            <w:vMerge w:val="restart"/>
            <w:tcBorders>
              <w:top w:val="single" w:sz="8" w:space="0" w:color="auto"/>
              <w:left w:val="single" w:sz="8" w:space="0" w:color="auto"/>
              <w:right w:val="single" w:sz="8" w:space="0" w:color="auto"/>
            </w:tcBorders>
            <w:vAlign w:val="center"/>
          </w:tcPr>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科</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基</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础</w:t>
            </w:r>
          </w:p>
          <w:p w:rsidR="00C51EB6" w:rsidRDefault="00BF2A3F">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w:t>
            </w: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政治经济学</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2</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32</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2</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微观经济学</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64</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adjustRightInd w:val="0"/>
              <w:snapToGrid w:val="0"/>
              <w:spacing w:line="360" w:lineRule="exact"/>
              <w:jc w:val="center"/>
              <w:rPr>
                <w:rFonts w:ascii="Times New Roman" w:hAnsi="Times New Roman" w:cs="Times New Roman"/>
                <w:bCs/>
                <w:sz w:val="18"/>
                <w:szCs w:val="18"/>
              </w:rPr>
            </w:pPr>
            <w:r>
              <w:rPr>
                <w:rFonts w:ascii="Times New Roman" w:hAnsi="Times New Roman" w:cs="Times New Roman"/>
                <w:bCs/>
                <w:sz w:val="18"/>
                <w:szCs w:val="18"/>
              </w:rPr>
              <w:t>64</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adjustRightInd w:val="0"/>
              <w:snapToGrid w:val="0"/>
              <w:spacing w:line="360" w:lineRule="exact"/>
              <w:jc w:val="center"/>
              <w:rPr>
                <w:rFonts w:ascii="Times New Roman" w:hAnsi="Times New Roman" w:cs="Times New Roman"/>
                <w:bCs/>
                <w:sz w:val="18"/>
                <w:szCs w:val="18"/>
              </w:rPr>
            </w:pP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r>
      <w:tr w:rsidR="00C51EB6" w:rsidTr="00830E2D">
        <w:trPr>
          <w:trHeight w:val="360"/>
          <w:jc w:val="center"/>
        </w:trPr>
        <w:tc>
          <w:tcPr>
            <w:tcW w:w="465" w:type="dxa"/>
            <w:tcBorders>
              <w:top w:val="single" w:sz="8" w:space="0" w:color="auto"/>
              <w:left w:val="single" w:sz="8" w:space="0" w:color="auto"/>
              <w:bottom w:val="single" w:sz="8" w:space="0" w:color="000000"/>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750" w:type="dxa"/>
            <w:vMerge/>
            <w:tcBorders>
              <w:left w:val="single" w:sz="8" w:space="0" w:color="auto"/>
              <w:bottom w:val="single" w:sz="8" w:space="0" w:color="000000"/>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000000"/>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宏观经济学</w:t>
            </w:r>
          </w:p>
        </w:tc>
        <w:tc>
          <w:tcPr>
            <w:tcW w:w="665" w:type="dxa"/>
            <w:tcBorders>
              <w:top w:val="single" w:sz="8" w:space="0" w:color="auto"/>
              <w:left w:val="single" w:sz="8" w:space="0" w:color="auto"/>
              <w:bottom w:val="single" w:sz="8" w:space="0" w:color="000000"/>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rPr>
              <w:t>2</w:t>
            </w:r>
          </w:p>
        </w:tc>
        <w:tc>
          <w:tcPr>
            <w:tcW w:w="780" w:type="dxa"/>
            <w:tcBorders>
              <w:top w:val="single" w:sz="8" w:space="0" w:color="auto"/>
              <w:left w:val="single" w:sz="8" w:space="0" w:color="auto"/>
              <w:bottom w:val="single" w:sz="8" w:space="0" w:color="000000"/>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32</w:t>
            </w:r>
          </w:p>
        </w:tc>
        <w:tc>
          <w:tcPr>
            <w:tcW w:w="1180" w:type="dxa"/>
            <w:tcBorders>
              <w:top w:val="single" w:sz="8" w:space="0" w:color="auto"/>
              <w:left w:val="single" w:sz="8" w:space="0" w:color="auto"/>
              <w:bottom w:val="single" w:sz="8" w:space="0" w:color="000000"/>
              <w:right w:val="single" w:sz="8" w:space="0" w:color="auto"/>
            </w:tcBorders>
            <w:vAlign w:val="center"/>
          </w:tcPr>
          <w:p w:rsidR="00C51EB6" w:rsidRDefault="00BF2A3F" w:rsidP="00830E2D">
            <w:pPr>
              <w:adjustRightInd w:val="0"/>
              <w:snapToGrid w:val="0"/>
              <w:spacing w:line="360" w:lineRule="exact"/>
              <w:jc w:val="center"/>
              <w:rPr>
                <w:rFonts w:ascii="Times New Roman" w:hAnsi="Times New Roman" w:cs="Times New Roman"/>
                <w:bCs/>
                <w:sz w:val="18"/>
                <w:szCs w:val="18"/>
              </w:rPr>
            </w:pPr>
            <w:r>
              <w:rPr>
                <w:rFonts w:ascii="Times New Roman" w:hAnsi="Times New Roman" w:cs="Times New Roman"/>
                <w:bCs/>
                <w:sz w:val="18"/>
                <w:szCs w:val="18"/>
              </w:rPr>
              <w:t>32</w:t>
            </w:r>
          </w:p>
        </w:tc>
        <w:tc>
          <w:tcPr>
            <w:tcW w:w="1460" w:type="dxa"/>
            <w:tcBorders>
              <w:top w:val="single" w:sz="8" w:space="0" w:color="auto"/>
              <w:left w:val="single" w:sz="8" w:space="0" w:color="auto"/>
              <w:bottom w:val="single" w:sz="8" w:space="0" w:color="000000"/>
              <w:right w:val="single" w:sz="8" w:space="0" w:color="auto"/>
            </w:tcBorders>
            <w:vAlign w:val="center"/>
          </w:tcPr>
          <w:p w:rsidR="00C51EB6" w:rsidRDefault="00C51EB6" w:rsidP="00830E2D">
            <w:pPr>
              <w:adjustRightInd w:val="0"/>
              <w:snapToGrid w:val="0"/>
              <w:spacing w:line="360" w:lineRule="exact"/>
              <w:jc w:val="center"/>
              <w:rPr>
                <w:rFonts w:ascii="Times New Roman" w:hAnsi="Times New Roman" w:cs="Times New Roman"/>
                <w:bCs/>
                <w:sz w:val="18"/>
                <w:szCs w:val="18"/>
              </w:rPr>
            </w:pPr>
          </w:p>
        </w:tc>
        <w:tc>
          <w:tcPr>
            <w:tcW w:w="650" w:type="dxa"/>
            <w:tcBorders>
              <w:top w:val="single" w:sz="8" w:space="0" w:color="auto"/>
              <w:left w:val="single" w:sz="8" w:space="0" w:color="auto"/>
              <w:bottom w:val="single" w:sz="8" w:space="0" w:color="000000"/>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r>
      <w:tr w:rsidR="00C51EB6" w:rsidTr="00830E2D">
        <w:trPr>
          <w:trHeight w:val="36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会计学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48</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adjustRightInd w:val="0"/>
              <w:snapToGrid w:val="0"/>
              <w:spacing w:line="360" w:lineRule="exact"/>
              <w:jc w:val="center"/>
              <w:rPr>
                <w:rFonts w:ascii="Times New Roman" w:hAnsi="Times New Roman" w:cs="Times New Roman"/>
                <w:bCs/>
                <w:sz w:val="18"/>
                <w:szCs w:val="18"/>
              </w:rPr>
            </w:pPr>
            <w:r>
              <w:rPr>
                <w:rFonts w:ascii="Times New Roman" w:hAnsi="Times New Roman" w:cs="Times New Roman"/>
                <w:bCs/>
                <w:sz w:val="18"/>
                <w:szCs w:val="18"/>
              </w:rPr>
              <w:t>48</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C51EB6" w:rsidP="00830E2D">
            <w:pPr>
              <w:adjustRightInd w:val="0"/>
              <w:snapToGrid w:val="0"/>
              <w:spacing w:line="360" w:lineRule="exact"/>
              <w:jc w:val="center"/>
              <w:rPr>
                <w:rFonts w:ascii="Times New Roman" w:hAnsi="Times New Roman" w:cs="Times New Roman"/>
                <w:bCs/>
                <w:sz w:val="18"/>
                <w:szCs w:val="18"/>
              </w:rPr>
            </w:pP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5</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管理学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48</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6</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统计学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56</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40</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kern w:val="0"/>
                <w:sz w:val="18"/>
                <w:szCs w:val="18"/>
              </w:rPr>
              <w:t>3</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7</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金融学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48</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8</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财政学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48</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9</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国际经济学（双语）</w:t>
            </w:r>
            <w:r>
              <w:rPr>
                <w:rFonts w:ascii="Times New Roman" w:hAnsi="Times New Roman" w:cs="Times New Roman"/>
                <w:kern w:val="0"/>
                <w:sz w:val="18"/>
                <w:szCs w:val="18"/>
              </w:rPr>
              <w:t>▲</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48</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w:t>
            </w:r>
          </w:p>
        </w:tc>
      </w:tr>
      <w:tr w:rsidR="00C51EB6" w:rsidTr="00830E2D">
        <w:trPr>
          <w:trHeight w:val="450"/>
          <w:jc w:val="center"/>
        </w:trPr>
        <w:tc>
          <w:tcPr>
            <w:tcW w:w="465" w:type="dxa"/>
            <w:tcBorders>
              <w:top w:val="single" w:sz="8" w:space="0" w:color="000000"/>
              <w:left w:val="single" w:sz="8" w:space="0" w:color="000000"/>
              <w:bottom w:val="single" w:sz="8" w:space="0" w:color="000000"/>
              <w:right w:val="single" w:sz="8" w:space="0" w:color="000000"/>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10</w:t>
            </w:r>
          </w:p>
        </w:tc>
        <w:tc>
          <w:tcPr>
            <w:tcW w:w="750" w:type="dxa"/>
            <w:vMerge/>
            <w:tcBorders>
              <w:top w:val="single" w:sz="8" w:space="0" w:color="000000"/>
              <w:left w:val="single" w:sz="8" w:space="0" w:color="000000"/>
              <w:bottom w:val="single" w:sz="8" w:space="0" w:color="000000"/>
              <w:right w:val="single" w:sz="8" w:space="0" w:color="000000"/>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计量经济学</w:t>
            </w:r>
          </w:p>
        </w:tc>
        <w:tc>
          <w:tcPr>
            <w:tcW w:w="665"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3</w:t>
            </w:r>
          </w:p>
        </w:tc>
        <w:tc>
          <w:tcPr>
            <w:tcW w:w="7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56</w:t>
            </w:r>
          </w:p>
        </w:tc>
        <w:tc>
          <w:tcPr>
            <w:tcW w:w="118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40</w:t>
            </w:r>
          </w:p>
        </w:tc>
        <w:tc>
          <w:tcPr>
            <w:tcW w:w="146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650" w:type="dxa"/>
            <w:tcBorders>
              <w:top w:val="single" w:sz="8" w:space="0" w:color="000000"/>
              <w:left w:val="single" w:sz="8" w:space="0" w:color="000000"/>
              <w:bottom w:val="single" w:sz="8" w:space="0" w:color="000000"/>
              <w:right w:val="single" w:sz="8" w:space="0" w:color="000000"/>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5</w:t>
            </w:r>
          </w:p>
        </w:tc>
      </w:tr>
      <w:tr w:rsidR="00C51EB6" w:rsidTr="00830E2D">
        <w:trPr>
          <w:trHeight w:val="360"/>
          <w:jc w:val="center"/>
        </w:trPr>
        <w:tc>
          <w:tcPr>
            <w:tcW w:w="465" w:type="dxa"/>
            <w:tcBorders>
              <w:top w:val="single" w:sz="8" w:space="0" w:color="000000"/>
              <w:left w:val="single" w:sz="8" w:space="0" w:color="auto"/>
              <w:bottom w:val="single" w:sz="8" w:space="0" w:color="auto"/>
              <w:right w:val="single" w:sz="8" w:space="0" w:color="auto"/>
            </w:tcBorders>
            <w:vAlign w:val="center"/>
          </w:tcPr>
          <w:p w:rsidR="00C51EB6" w:rsidRDefault="00830E2D">
            <w:pPr>
              <w:widowControl/>
              <w:spacing w:line="360" w:lineRule="exact"/>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r w:rsidR="00BF2A3F">
              <w:rPr>
                <w:rFonts w:ascii="Times New Roman" w:hAnsi="Times New Roman" w:cs="Times New Roman"/>
                <w:b/>
                <w:kern w:val="0"/>
                <w:sz w:val="18"/>
                <w:szCs w:val="18"/>
              </w:rPr>
              <w:t>11</w:t>
            </w:r>
          </w:p>
        </w:tc>
        <w:tc>
          <w:tcPr>
            <w:tcW w:w="750" w:type="dxa"/>
            <w:vMerge w:val="restart"/>
            <w:tcBorders>
              <w:top w:val="single" w:sz="8" w:space="0" w:color="000000"/>
              <w:left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专</w:t>
            </w:r>
          </w:p>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业</w:t>
            </w:r>
          </w:p>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bCs/>
                <w:kern w:val="0"/>
                <w:sz w:val="18"/>
                <w:szCs w:val="18"/>
              </w:rPr>
              <w:t>课</w:t>
            </w:r>
          </w:p>
        </w:tc>
        <w:tc>
          <w:tcPr>
            <w:tcW w:w="2520" w:type="dxa"/>
            <w:tcBorders>
              <w:top w:val="single" w:sz="8" w:space="0" w:color="000000"/>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国际市场营销学（双语）</w:t>
            </w:r>
            <w:r>
              <w:rPr>
                <w:rFonts w:ascii="Times New Roman" w:hAnsi="Times New Roman" w:cs="Times New Roman"/>
                <w:kern w:val="0"/>
                <w:sz w:val="18"/>
                <w:szCs w:val="18"/>
              </w:rPr>
              <w:t>▲</w:t>
            </w:r>
          </w:p>
        </w:tc>
        <w:tc>
          <w:tcPr>
            <w:tcW w:w="665" w:type="dxa"/>
            <w:tcBorders>
              <w:top w:val="single" w:sz="8" w:space="0" w:color="000000"/>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80" w:type="dxa"/>
            <w:tcBorders>
              <w:top w:val="single" w:sz="8" w:space="0" w:color="000000"/>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80" w:type="dxa"/>
            <w:tcBorders>
              <w:top w:val="single" w:sz="8" w:space="0" w:color="000000"/>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000000"/>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000000"/>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12</w:t>
            </w:r>
          </w:p>
        </w:tc>
        <w:tc>
          <w:tcPr>
            <w:tcW w:w="750" w:type="dxa"/>
            <w:vMerge/>
            <w:tcBorders>
              <w:top w:val="single" w:sz="8" w:space="0" w:color="auto"/>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国际贸易学</w:t>
            </w:r>
            <w:r>
              <w:rPr>
                <w:rFonts w:ascii="Times New Roman" w:hAnsi="Times New Roman" w:cs="Times New Roman"/>
                <w:kern w:val="0"/>
                <w:sz w:val="18"/>
                <w:szCs w:val="18"/>
              </w:rPr>
              <w:t>▲</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13</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rPr>
              <w:t>期货市场学</w:t>
            </w:r>
            <w:r>
              <w:rPr>
                <w:rFonts w:ascii="Times New Roman" w:hAnsi="Times New Roman" w:cs="Times New Roman"/>
                <w:kern w:val="0"/>
                <w:sz w:val="18"/>
                <w:szCs w:val="18"/>
              </w:rPr>
              <w:t>▲</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14</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国际贸易实务（双语）</w:t>
            </w:r>
            <w:r>
              <w:rPr>
                <w:rFonts w:ascii="Times New Roman" w:hAnsi="Times New Roman" w:cs="Times New Roman"/>
                <w:kern w:val="0"/>
                <w:sz w:val="18"/>
                <w:szCs w:val="18"/>
              </w:rPr>
              <w:t>▲</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40</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15</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跨境电商实务</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24</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16</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国际商法</w:t>
            </w:r>
            <w:r>
              <w:rPr>
                <w:rFonts w:ascii="Times New Roman" w:hAnsi="Times New Roman" w:cs="Times New Roman"/>
                <w:kern w:val="0"/>
                <w:sz w:val="18"/>
                <w:szCs w:val="18"/>
              </w:rPr>
              <w:t>▲</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17</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rPr>
            </w:pPr>
            <w:r>
              <w:rPr>
                <w:rFonts w:ascii="Times New Roman" w:hAnsi="Times New Roman" w:cs="Times New Roman"/>
                <w:kern w:val="0"/>
                <w:sz w:val="18"/>
                <w:szCs w:val="18"/>
              </w:rPr>
              <w:t>★</w:t>
            </w:r>
            <w:r>
              <w:rPr>
                <w:rFonts w:ascii="Times New Roman" w:hAnsi="Times New Roman" w:cs="Times New Roman"/>
                <w:kern w:val="0"/>
                <w:sz w:val="18"/>
                <w:szCs w:val="18"/>
              </w:rPr>
              <w:t>外贸英语函电</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16</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18</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r>
              <w:rPr>
                <w:rFonts w:ascii="Times New Roman" w:hAnsi="Times New Roman" w:cs="Times New Roman"/>
                <w:kern w:val="0"/>
                <w:sz w:val="18"/>
                <w:szCs w:val="18"/>
                <w:lang w:val="zh-TW" w:eastAsia="zh-TW"/>
              </w:rPr>
              <w:t>商务谈判（双语）</w:t>
            </w:r>
            <w:r>
              <w:rPr>
                <w:rFonts w:ascii="Times New Roman" w:hAnsi="Times New Roman" w:cs="Times New Roman"/>
                <w:kern w:val="0"/>
                <w:sz w:val="18"/>
                <w:szCs w:val="18"/>
              </w:rPr>
              <w:t>▲</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48</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5</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19</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企业经营实战</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5</w:t>
            </w:r>
          </w:p>
        </w:tc>
      </w:tr>
      <w:tr w:rsidR="00C51EB6" w:rsidTr="00830E2D">
        <w:trPr>
          <w:trHeight w:val="360"/>
          <w:jc w:val="center"/>
        </w:trPr>
        <w:tc>
          <w:tcPr>
            <w:tcW w:w="465" w:type="dxa"/>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20</w:t>
            </w:r>
          </w:p>
        </w:tc>
        <w:tc>
          <w:tcPr>
            <w:tcW w:w="750" w:type="dxa"/>
            <w:vMerge/>
            <w:tcBorders>
              <w:left w:val="single" w:sz="8" w:space="0" w:color="auto"/>
              <w:right w:val="single" w:sz="8" w:space="0" w:color="auto"/>
            </w:tcBorders>
            <w:vAlign w:val="center"/>
          </w:tcPr>
          <w:p w:rsidR="00C51EB6" w:rsidRDefault="00C51EB6">
            <w:pPr>
              <w:widowControl/>
              <w:spacing w:line="360" w:lineRule="exact"/>
              <w:jc w:val="center"/>
              <w:rPr>
                <w:rFonts w:ascii="Times New Roman" w:hAnsi="Times New Roman" w:cs="Times New Roman"/>
                <w:b/>
                <w:kern w:val="0"/>
                <w:sz w:val="18"/>
                <w:szCs w:val="18"/>
              </w:rPr>
            </w:pPr>
          </w:p>
        </w:tc>
        <w:tc>
          <w:tcPr>
            <w:tcW w:w="252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spacing w:line="360" w:lineRule="exact"/>
              <w:jc w:val="center"/>
              <w:rPr>
                <w:rFonts w:ascii="Times New Roman" w:hAnsi="Times New Roman" w:cs="Times New Roman"/>
                <w:bCs/>
                <w:kern w:val="0"/>
                <w:sz w:val="18"/>
                <w:szCs w:val="18"/>
              </w:rPr>
            </w:pPr>
            <w:r>
              <w:rPr>
                <w:rFonts w:ascii="Times New Roman" w:hAnsi="Times New Roman" w:cs="Times New Roman"/>
                <w:color w:val="171A1D"/>
                <w:sz w:val="14"/>
                <w:szCs w:val="14"/>
                <w:shd w:val="clear" w:color="auto" w:fill="FFFFFF"/>
                <w:lang w:bidi="ar"/>
              </w:rPr>
              <w:t>★</w:t>
            </w:r>
            <w:r>
              <w:rPr>
                <w:rFonts w:ascii="Times New Roman" w:hAnsi="Times New Roman" w:cs="Times New Roman"/>
                <w:bCs/>
                <w:kern w:val="0"/>
                <w:sz w:val="18"/>
                <w:szCs w:val="18"/>
              </w:rPr>
              <w:t>毕业论文</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8</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r>
              <w:rPr>
                <w:rFonts w:ascii="Times New Roman" w:hAnsi="Times New Roman" w:cs="Times New Roman"/>
                <w:kern w:val="0"/>
                <w:sz w:val="18"/>
                <w:szCs w:val="18"/>
              </w:rPr>
              <w:t>周</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Cs/>
                <w:kern w:val="0"/>
                <w:sz w:val="18"/>
                <w:szCs w:val="18"/>
              </w:rPr>
            </w:pP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8</w:t>
            </w:r>
            <w:r>
              <w:rPr>
                <w:rFonts w:ascii="Times New Roman" w:hAnsi="Times New Roman" w:cs="Times New Roman"/>
                <w:bCs/>
                <w:kern w:val="0"/>
                <w:sz w:val="18"/>
                <w:szCs w:val="18"/>
              </w:rPr>
              <w:t>周</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r>
      <w:tr w:rsidR="00C51EB6" w:rsidTr="00830E2D">
        <w:trPr>
          <w:trHeight w:val="360"/>
          <w:jc w:val="center"/>
        </w:trPr>
        <w:tc>
          <w:tcPr>
            <w:tcW w:w="3735" w:type="dxa"/>
            <w:gridSpan w:val="3"/>
            <w:tcBorders>
              <w:top w:val="single" w:sz="8" w:space="0" w:color="auto"/>
              <w:left w:val="single" w:sz="8" w:space="0" w:color="auto"/>
              <w:bottom w:val="single" w:sz="8" w:space="0" w:color="auto"/>
              <w:right w:val="single" w:sz="8" w:space="0" w:color="auto"/>
            </w:tcBorders>
            <w:vAlign w:val="center"/>
          </w:tcPr>
          <w:p w:rsidR="00C51EB6" w:rsidRDefault="00BF2A3F">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合计</w:t>
            </w:r>
          </w:p>
        </w:tc>
        <w:tc>
          <w:tcPr>
            <w:tcW w:w="665"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60</w:t>
            </w:r>
          </w:p>
        </w:tc>
        <w:tc>
          <w:tcPr>
            <w:tcW w:w="7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928+</w:t>
            </w:r>
          </w:p>
          <w:p w:rsidR="00C51EB6" w:rsidRDefault="00BF2A3F" w:rsidP="00830E2D">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8</w:t>
            </w:r>
            <w:r>
              <w:rPr>
                <w:rFonts w:ascii="Times New Roman" w:hAnsi="Times New Roman" w:cs="Times New Roman"/>
                <w:b/>
                <w:kern w:val="0"/>
                <w:sz w:val="18"/>
                <w:szCs w:val="18"/>
              </w:rPr>
              <w:t>周</w:t>
            </w:r>
          </w:p>
        </w:tc>
        <w:tc>
          <w:tcPr>
            <w:tcW w:w="118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736</w:t>
            </w:r>
          </w:p>
        </w:tc>
        <w:tc>
          <w:tcPr>
            <w:tcW w:w="1460" w:type="dxa"/>
            <w:tcBorders>
              <w:top w:val="single" w:sz="8" w:space="0" w:color="auto"/>
              <w:left w:val="single" w:sz="8" w:space="0" w:color="auto"/>
              <w:bottom w:val="single" w:sz="8" w:space="0" w:color="auto"/>
              <w:right w:val="single" w:sz="8" w:space="0" w:color="auto"/>
            </w:tcBorders>
            <w:vAlign w:val="center"/>
          </w:tcPr>
          <w:p w:rsidR="00C51EB6" w:rsidRDefault="00BF2A3F" w:rsidP="00830E2D">
            <w:pPr>
              <w:widowControl/>
              <w:spacing w:line="36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192+8</w:t>
            </w:r>
            <w:r>
              <w:rPr>
                <w:rFonts w:ascii="Times New Roman" w:hAnsi="Times New Roman" w:cs="Times New Roman"/>
                <w:b/>
                <w:kern w:val="0"/>
                <w:sz w:val="18"/>
                <w:szCs w:val="18"/>
              </w:rPr>
              <w:t>周</w:t>
            </w:r>
          </w:p>
        </w:tc>
        <w:tc>
          <w:tcPr>
            <w:tcW w:w="650" w:type="dxa"/>
            <w:tcBorders>
              <w:top w:val="single" w:sz="8" w:space="0" w:color="auto"/>
              <w:left w:val="single" w:sz="8" w:space="0" w:color="auto"/>
              <w:bottom w:val="single" w:sz="8" w:space="0" w:color="auto"/>
              <w:right w:val="single" w:sz="8" w:space="0" w:color="auto"/>
            </w:tcBorders>
            <w:vAlign w:val="center"/>
          </w:tcPr>
          <w:p w:rsidR="00C51EB6" w:rsidRDefault="00C51EB6" w:rsidP="00830E2D">
            <w:pPr>
              <w:widowControl/>
              <w:spacing w:line="360" w:lineRule="exact"/>
              <w:jc w:val="center"/>
              <w:rPr>
                <w:rFonts w:ascii="Times New Roman" w:hAnsi="Times New Roman" w:cs="Times New Roman"/>
                <w:b/>
                <w:kern w:val="0"/>
                <w:sz w:val="18"/>
                <w:szCs w:val="18"/>
              </w:rPr>
            </w:pPr>
          </w:p>
        </w:tc>
      </w:tr>
    </w:tbl>
    <w:p w:rsidR="00C51EB6" w:rsidRDefault="00BF2A3F">
      <w:pPr>
        <w:widowControl/>
        <w:spacing w:line="360" w:lineRule="exact"/>
        <w:rPr>
          <w:rFonts w:asciiTheme="minorEastAsia" w:hAnsiTheme="minorEastAsia" w:cs="等线"/>
          <w:kern w:val="0"/>
          <w:sz w:val="18"/>
          <w:szCs w:val="18"/>
        </w:rPr>
      </w:pPr>
      <w:r>
        <w:rPr>
          <w:rFonts w:asciiTheme="minorEastAsia" w:hAnsiTheme="minorEastAsia" w:cs="等线" w:hint="eastAsia"/>
          <w:b/>
          <w:bCs/>
          <w:kern w:val="0"/>
          <w:sz w:val="18"/>
          <w:szCs w:val="18"/>
        </w:rPr>
        <w:t>注：</w:t>
      </w:r>
      <w:r>
        <w:rPr>
          <w:rFonts w:asciiTheme="minorEastAsia" w:hAnsiTheme="minorEastAsia" w:cs="等线" w:hint="eastAsia"/>
          <w:kern w:val="0"/>
          <w:sz w:val="18"/>
          <w:szCs w:val="18"/>
        </w:rPr>
        <w:t>1、课程名称前面标示“★”指的是学位课程，课程名称后面标示“▲”指的是专业核心课程。</w:t>
      </w:r>
    </w:p>
    <w:p w:rsidR="00C51EB6" w:rsidRDefault="00BF2A3F">
      <w:pPr>
        <w:widowControl/>
        <w:spacing w:line="360" w:lineRule="exact"/>
        <w:ind w:left="360" w:hangingChars="200" w:hanging="360"/>
        <w:jc w:val="left"/>
        <w:rPr>
          <w:rFonts w:asciiTheme="minorEastAsia" w:hAnsiTheme="minorEastAsia" w:cs="等线"/>
          <w:kern w:val="0"/>
          <w:sz w:val="18"/>
          <w:szCs w:val="18"/>
        </w:rPr>
      </w:pPr>
      <w:r>
        <w:rPr>
          <w:rFonts w:asciiTheme="minorEastAsia" w:hAnsiTheme="minorEastAsia" w:cs="等线"/>
          <w:kern w:val="0"/>
          <w:sz w:val="18"/>
          <w:szCs w:val="18"/>
        </w:rPr>
        <w:t xml:space="preserve">    2、</w:t>
      </w:r>
      <w:r>
        <w:rPr>
          <w:rFonts w:asciiTheme="minorEastAsia" w:hAnsiTheme="minorEastAsia" w:cs="等线" w:hint="eastAsia"/>
          <w:kern w:val="0"/>
          <w:sz w:val="18"/>
          <w:szCs w:val="18"/>
        </w:rPr>
        <w:t>开课学期按实际参加辅修的学期计，即三年制，第一年为1、2学期，第二年为3、4学期，第三年为5、6学期。</w:t>
      </w:r>
    </w:p>
    <w:p w:rsidR="00C51EB6" w:rsidRDefault="00BF2A3F">
      <w:pPr>
        <w:widowControl/>
        <w:spacing w:line="360" w:lineRule="exact"/>
        <w:jc w:val="left"/>
        <w:rPr>
          <w:rFonts w:asciiTheme="minorEastAsia" w:hAnsiTheme="minorEastAsia" w:cs="等线"/>
          <w:kern w:val="0"/>
          <w:sz w:val="18"/>
          <w:szCs w:val="18"/>
          <w:highlight w:val="yellow"/>
        </w:rPr>
      </w:pPr>
      <w:r>
        <w:rPr>
          <w:rFonts w:asciiTheme="minorEastAsia" w:hAnsiTheme="minorEastAsia" w:cs="等线" w:hint="eastAsia"/>
          <w:kern w:val="0"/>
          <w:sz w:val="18"/>
          <w:szCs w:val="18"/>
        </w:rPr>
        <w:t xml:space="preserve">                                                                      </w:t>
      </w:r>
      <w:r>
        <w:rPr>
          <w:rFonts w:asciiTheme="minorEastAsia" w:hAnsiTheme="minorEastAsia" w:cs="等线" w:hint="eastAsia"/>
          <w:kern w:val="0"/>
          <w:sz w:val="18"/>
          <w:szCs w:val="18"/>
          <w:highlight w:val="yellow"/>
        </w:rPr>
        <w:t xml:space="preserve">  202</w:t>
      </w:r>
      <w:r w:rsidR="00D91D1D">
        <w:rPr>
          <w:rFonts w:asciiTheme="minorEastAsia" w:hAnsiTheme="minorEastAsia" w:cs="等线"/>
          <w:kern w:val="0"/>
          <w:sz w:val="18"/>
          <w:szCs w:val="18"/>
          <w:highlight w:val="yellow"/>
        </w:rPr>
        <w:t>2</w:t>
      </w:r>
      <w:r>
        <w:rPr>
          <w:rFonts w:asciiTheme="minorEastAsia" w:hAnsiTheme="minorEastAsia" w:cs="等线" w:hint="eastAsia"/>
          <w:kern w:val="0"/>
          <w:sz w:val="18"/>
          <w:szCs w:val="18"/>
          <w:highlight w:val="yellow"/>
        </w:rPr>
        <w:t>年5月</w:t>
      </w:r>
      <w:r w:rsidR="00D91D1D">
        <w:rPr>
          <w:rFonts w:asciiTheme="minorEastAsia" w:hAnsiTheme="minorEastAsia" w:cs="等线"/>
          <w:kern w:val="0"/>
          <w:sz w:val="18"/>
          <w:szCs w:val="18"/>
          <w:highlight w:val="yellow"/>
        </w:rPr>
        <w:t>6</w:t>
      </w:r>
      <w:r>
        <w:rPr>
          <w:rFonts w:asciiTheme="minorEastAsia" w:hAnsiTheme="minorEastAsia" w:cs="等线" w:hint="eastAsia"/>
          <w:kern w:val="0"/>
          <w:sz w:val="18"/>
          <w:szCs w:val="18"/>
          <w:highlight w:val="yellow"/>
        </w:rPr>
        <w:t>日</w:t>
      </w:r>
    </w:p>
    <w:sectPr w:rsidR="00C51E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25" w:rsidRDefault="00197725">
      <w:r>
        <w:separator/>
      </w:r>
    </w:p>
  </w:endnote>
  <w:endnote w:type="continuationSeparator" w:id="0">
    <w:p w:rsidR="00197725" w:rsidRDefault="0019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auto"/>
    <w:pitch w:val="default"/>
    <w:sig w:usb0="00000000" w:usb1="00000000" w:usb2="0000001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altName w:val="汉仪仿宋KW"/>
    <w:panose1 w:val="02010609060101010101"/>
    <w:charset w:val="86"/>
    <w:family w:val="modern"/>
    <w:pitch w:val="fixed"/>
    <w:sig w:usb0="800002BF" w:usb1="38CF7CFA" w:usb2="00000016" w:usb3="00000000" w:csb0="00040001" w:csb1="00000000"/>
  </w:font>
  <w:font w:name="等线">
    <w:altName w:val="汉仪中等线KW"/>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25" w:rsidRDefault="00197725">
      <w:r>
        <w:separator/>
      </w:r>
    </w:p>
  </w:footnote>
  <w:footnote w:type="continuationSeparator" w:id="0">
    <w:p w:rsidR="00197725" w:rsidRDefault="001977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5C4F8C"/>
    <w:rsid w:val="525C4F8C"/>
    <w:rsid w:val="95BB71B6"/>
    <w:rsid w:val="BDED7FD1"/>
    <w:rsid w:val="C9FE4EF0"/>
    <w:rsid w:val="E7DEB430"/>
    <w:rsid w:val="F7E316B4"/>
    <w:rsid w:val="FFFD2DDC"/>
    <w:rsid w:val="000D5BDE"/>
    <w:rsid w:val="00102AA0"/>
    <w:rsid w:val="00197725"/>
    <w:rsid w:val="001C7BC5"/>
    <w:rsid w:val="00274A85"/>
    <w:rsid w:val="00282E4D"/>
    <w:rsid w:val="00290B40"/>
    <w:rsid w:val="002A47A6"/>
    <w:rsid w:val="003A6610"/>
    <w:rsid w:val="00404506"/>
    <w:rsid w:val="00415C22"/>
    <w:rsid w:val="0049345D"/>
    <w:rsid w:val="004A075E"/>
    <w:rsid w:val="004A6094"/>
    <w:rsid w:val="004C7AB1"/>
    <w:rsid w:val="0050188B"/>
    <w:rsid w:val="00537837"/>
    <w:rsid w:val="005667CE"/>
    <w:rsid w:val="0065701F"/>
    <w:rsid w:val="006726D5"/>
    <w:rsid w:val="006758CE"/>
    <w:rsid w:val="006E6AA7"/>
    <w:rsid w:val="00710D08"/>
    <w:rsid w:val="007127BE"/>
    <w:rsid w:val="007A46C9"/>
    <w:rsid w:val="007C32AD"/>
    <w:rsid w:val="007F2A28"/>
    <w:rsid w:val="007F4C06"/>
    <w:rsid w:val="00830E2D"/>
    <w:rsid w:val="008327FA"/>
    <w:rsid w:val="0083738E"/>
    <w:rsid w:val="008608C4"/>
    <w:rsid w:val="00891AE2"/>
    <w:rsid w:val="008B14DB"/>
    <w:rsid w:val="009337DF"/>
    <w:rsid w:val="009B2255"/>
    <w:rsid w:val="00A17807"/>
    <w:rsid w:val="00AC59DE"/>
    <w:rsid w:val="00AD4B12"/>
    <w:rsid w:val="00AF7E8C"/>
    <w:rsid w:val="00B17E95"/>
    <w:rsid w:val="00BA14F5"/>
    <w:rsid w:val="00BB0D52"/>
    <w:rsid w:val="00BF2A3F"/>
    <w:rsid w:val="00C1727E"/>
    <w:rsid w:val="00C51EB6"/>
    <w:rsid w:val="00C63D79"/>
    <w:rsid w:val="00C95CFD"/>
    <w:rsid w:val="00D91D1D"/>
    <w:rsid w:val="00E70967"/>
    <w:rsid w:val="00E92CCD"/>
    <w:rsid w:val="00F273D5"/>
    <w:rsid w:val="00F63337"/>
    <w:rsid w:val="00F95333"/>
    <w:rsid w:val="00FC12B6"/>
    <w:rsid w:val="0F7165EF"/>
    <w:rsid w:val="2F7768DA"/>
    <w:rsid w:val="469E0FD8"/>
    <w:rsid w:val="525C4F8C"/>
    <w:rsid w:val="67AE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customStyle="1" w:styleId="TableNormal">
    <w:name w:val="Table Normal"/>
    <w:qFormat/>
    <w:rPr>
      <w:rFonts w:eastAsiaTheme="minorEastAsia"/>
    </w:rPr>
    <w:tblPr>
      <w:tblCellMar>
        <w:top w:w="0" w:type="dxa"/>
        <w:left w:w="0" w:type="dxa"/>
        <w:bottom w:w="0" w:type="dxa"/>
        <w:right w:w="0" w:type="dxa"/>
      </w:tblCellMar>
    </w:tblPr>
  </w:style>
  <w:style w:type="paragraph" w:customStyle="1" w:styleId="a4">
    <w:name w:val="页眉与页脚"/>
    <w:qFormat/>
    <w:pPr>
      <w:tabs>
        <w:tab w:val="right" w:pos="9020"/>
      </w:tabs>
    </w:pPr>
    <w:rPr>
      <w:rFonts w:ascii="Helvetica Neue" w:eastAsia="Arial Unicode MS" w:hAnsi="Helvetica Neue" w:cs="Arial Unicode MS"/>
      <w:color w:val="000000"/>
      <w:sz w:val="24"/>
      <w:szCs w:val="24"/>
    </w:rPr>
  </w:style>
  <w:style w:type="paragraph" w:styleId="a5">
    <w:name w:val="List Paragraph"/>
    <w:basedOn w:val="a"/>
    <w:uiPriority w:val="99"/>
    <w:unhideWhenUsed/>
    <w:rsid w:val="008B14DB"/>
    <w:pPr>
      <w:ind w:firstLineChars="200" w:firstLine="420"/>
    </w:pPr>
  </w:style>
  <w:style w:type="paragraph" w:styleId="a6">
    <w:name w:val="header"/>
    <w:basedOn w:val="a"/>
    <w:link w:val="Char"/>
    <w:unhideWhenUsed/>
    <w:rsid w:val="00D91D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91D1D"/>
    <w:rPr>
      <w:rFonts w:asciiTheme="minorHAnsi" w:eastAsiaTheme="minorEastAsia" w:hAnsiTheme="minorHAnsi" w:cstheme="minorBidi"/>
      <w:kern w:val="2"/>
      <w:sz w:val="18"/>
      <w:szCs w:val="18"/>
    </w:rPr>
  </w:style>
  <w:style w:type="paragraph" w:styleId="a7">
    <w:name w:val="footer"/>
    <w:basedOn w:val="a"/>
    <w:link w:val="Char0"/>
    <w:unhideWhenUsed/>
    <w:rsid w:val="00D91D1D"/>
    <w:pPr>
      <w:tabs>
        <w:tab w:val="center" w:pos="4153"/>
        <w:tab w:val="right" w:pos="8306"/>
      </w:tabs>
      <w:snapToGrid w:val="0"/>
      <w:jc w:val="left"/>
    </w:pPr>
    <w:rPr>
      <w:sz w:val="18"/>
      <w:szCs w:val="18"/>
    </w:rPr>
  </w:style>
  <w:style w:type="character" w:customStyle="1" w:styleId="Char0">
    <w:name w:val="页脚 Char"/>
    <w:basedOn w:val="a0"/>
    <w:link w:val="a7"/>
    <w:rsid w:val="00D91D1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customStyle="1" w:styleId="TableNormal">
    <w:name w:val="Table Normal"/>
    <w:qFormat/>
    <w:rPr>
      <w:rFonts w:eastAsiaTheme="minorEastAsia"/>
    </w:rPr>
    <w:tblPr>
      <w:tblCellMar>
        <w:top w:w="0" w:type="dxa"/>
        <w:left w:w="0" w:type="dxa"/>
        <w:bottom w:w="0" w:type="dxa"/>
        <w:right w:w="0" w:type="dxa"/>
      </w:tblCellMar>
    </w:tblPr>
  </w:style>
  <w:style w:type="paragraph" w:customStyle="1" w:styleId="a4">
    <w:name w:val="页眉与页脚"/>
    <w:qFormat/>
    <w:pPr>
      <w:tabs>
        <w:tab w:val="right" w:pos="9020"/>
      </w:tabs>
    </w:pPr>
    <w:rPr>
      <w:rFonts w:ascii="Helvetica Neue" w:eastAsia="Arial Unicode MS" w:hAnsi="Helvetica Neue" w:cs="Arial Unicode MS"/>
      <w:color w:val="000000"/>
      <w:sz w:val="24"/>
      <w:szCs w:val="24"/>
    </w:rPr>
  </w:style>
  <w:style w:type="paragraph" w:styleId="a5">
    <w:name w:val="List Paragraph"/>
    <w:basedOn w:val="a"/>
    <w:uiPriority w:val="99"/>
    <w:unhideWhenUsed/>
    <w:rsid w:val="008B14DB"/>
    <w:pPr>
      <w:ind w:firstLineChars="200" w:firstLine="420"/>
    </w:pPr>
  </w:style>
  <w:style w:type="paragraph" w:styleId="a6">
    <w:name w:val="header"/>
    <w:basedOn w:val="a"/>
    <w:link w:val="Char"/>
    <w:unhideWhenUsed/>
    <w:rsid w:val="00D91D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91D1D"/>
    <w:rPr>
      <w:rFonts w:asciiTheme="minorHAnsi" w:eastAsiaTheme="minorEastAsia" w:hAnsiTheme="minorHAnsi" w:cstheme="minorBidi"/>
      <w:kern w:val="2"/>
      <w:sz w:val="18"/>
      <w:szCs w:val="18"/>
    </w:rPr>
  </w:style>
  <w:style w:type="paragraph" w:styleId="a7">
    <w:name w:val="footer"/>
    <w:basedOn w:val="a"/>
    <w:link w:val="Char0"/>
    <w:unhideWhenUsed/>
    <w:rsid w:val="00D91D1D"/>
    <w:pPr>
      <w:tabs>
        <w:tab w:val="center" w:pos="4153"/>
        <w:tab w:val="right" w:pos="8306"/>
      </w:tabs>
      <w:snapToGrid w:val="0"/>
      <w:jc w:val="left"/>
    </w:pPr>
    <w:rPr>
      <w:sz w:val="18"/>
      <w:szCs w:val="18"/>
    </w:rPr>
  </w:style>
  <w:style w:type="character" w:customStyle="1" w:styleId="Char0">
    <w:name w:val="页脚 Char"/>
    <w:basedOn w:val="a0"/>
    <w:link w:val="a7"/>
    <w:rsid w:val="00D91D1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249</Words>
  <Characters>1424</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楊國强</dc:creator>
  <cp:lastModifiedBy>xb21cn</cp:lastModifiedBy>
  <cp:revision>4</cp:revision>
  <cp:lastPrinted>2021-05-28T08:07:00Z</cp:lastPrinted>
  <dcterms:created xsi:type="dcterms:W3CDTF">2022-05-05T12:28:00Z</dcterms:created>
  <dcterms:modified xsi:type="dcterms:W3CDTF">2022-05-06T02:04:00Z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