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hint="eastAsia" w:ascii="黑体" w:hAnsi="黑体" w:eastAsia="黑体" w:cs="黑体"/>
          <w:color w:val="000000" w:themeColor="text1"/>
          <w:sz w:val="32"/>
          <w:szCs w:val="32"/>
          <w:highlight w:val="none"/>
          <w:shd w:val="clear" w:color="auto" w:fill="FFFFFF"/>
          <w14:textFill>
            <w14:solidFill>
              <w14:schemeClr w14:val="tx1"/>
            </w14:solidFill>
          </w14:textFill>
        </w:rPr>
      </w:pPr>
      <w:r>
        <w:rPr>
          <w:rFonts w:hint="eastAsia" w:ascii="黑体" w:hAnsi="黑体" w:eastAsia="黑体" w:cs="黑体"/>
          <w:color w:val="000000" w:themeColor="text1"/>
          <w:sz w:val="32"/>
          <w:szCs w:val="32"/>
          <w:highlight w:val="none"/>
          <w:shd w:val="clear" w:color="auto" w:fill="FFFFFF"/>
          <w14:textFill>
            <w14:solidFill>
              <w14:schemeClr w14:val="tx1"/>
            </w14:solidFill>
          </w14:textFill>
        </w:rPr>
        <w:t>附件</w:t>
      </w:r>
      <w:r>
        <w:rPr>
          <w:rFonts w:hint="eastAsia" w:ascii="黑体" w:hAnsi="黑体" w:eastAsia="黑体" w:cs="黑体"/>
          <w:color w:val="000000" w:themeColor="text1"/>
          <w:sz w:val="32"/>
          <w:szCs w:val="32"/>
          <w:highlight w:val="none"/>
          <w:shd w:val="clear" w:color="auto" w:fill="FFFFFF"/>
          <w:lang w:val="en-US" w:eastAsia="zh-CN"/>
          <w14:textFill>
            <w14:solidFill>
              <w14:schemeClr w14:val="tx1"/>
            </w14:solidFill>
          </w14:textFill>
        </w:rPr>
        <w:t>2</w:t>
      </w:r>
    </w:p>
    <w:p>
      <w:pPr>
        <w:adjustRightInd w:val="0"/>
        <w:snapToGrid w:val="0"/>
        <w:spacing w:line="560" w:lineRule="exact"/>
        <w:jc w:val="center"/>
        <w:rPr>
          <w:rFonts w:hint="eastAsia" w:ascii="方正小标宋简体" w:hAnsi="方正小标宋简体" w:eastAsia="方正小标宋简体" w:cs="方正小标宋简体"/>
          <w:color w:val="000000" w:themeColor="text1"/>
          <w:sz w:val="44"/>
          <w:szCs w:val="44"/>
          <w:highlight w:val="none"/>
          <w:shd w:val="clear" w:color="auto" w:fill="FFFFFF"/>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highlight w:val="none"/>
          <w:shd w:val="clear" w:color="auto" w:fill="FFFFFF"/>
          <w14:textFill>
            <w14:solidFill>
              <w14:schemeClr w14:val="tx1"/>
            </w14:solidFill>
          </w14:textFill>
        </w:rPr>
        <w:t>“十四五”广东省农业科技创新十大主攻</w:t>
      </w:r>
    </w:p>
    <w:p>
      <w:pPr>
        <w:adjustRightInd w:val="0"/>
        <w:snapToGrid w:val="0"/>
        <w:spacing w:line="560" w:lineRule="exact"/>
        <w:jc w:val="center"/>
        <w:rPr>
          <w:rFonts w:ascii="方正小标宋简体" w:hAnsi="方正小标宋简体" w:eastAsia="方正小标宋简体" w:cs="方正小标宋简体"/>
          <w:color w:val="000000" w:themeColor="text1"/>
          <w:sz w:val="44"/>
          <w:szCs w:val="44"/>
          <w:highlight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highlight w:val="none"/>
          <w:shd w:val="clear" w:color="auto" w:fill="FFFFFF"/>
          <w14:textFill>
            <w14:solidFill>
              <w14:schemeClr w14:val="tx1"/>
            </w14:solidFill>
          </w14:textFill>
        </w:rPr>
        <w:t>方向“揭榜挂帅”项目榜单</w:t>
      </w:r>
    </w:p>
    <w:p>
      <w:pPr>
        <w:adjustRightInd w:val="0"/>
        <w:snapToGrid w:val="0"/>
        <w:spacing w:line="560" w:lineRule="exact"/>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一、</w:t>
      </w: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粤系种猪种质创制与产业化</w:t>
      </w:r>
      <w:bookmarkStart w:id="0" w:name="_GoBack"/>
      <w:bookmarkEnd w:id="0"/>
    </w:p>
    <w:p>
      <w:pPr>
        <w:adjustRightInd w:val="0"/>
        <w:snapToGrid w:val="0"/>
        <w:spacing w:line="560" w:lineRule="exact"/>
        <w:ind w:firstLine="640" w:firstLineChars="200"/>
        <w:rPr>
          <w:color w:val="000000" w:themeColor="text1"/>
          <w:highlight w:val="none"/>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为深入学习贯彻习近平总书记关于农业科技创新的重要讲话和指示批示精神，落实省第十三次党代会工作部署，</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切实加强创新链和产业链对接，“粤系种猪种质创制与产业化”</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方向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聚焦国家战略亟需、应用导向鲜明、最终用户明确的重大攻关需求，</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针对华南地区独特的区域市场需求和养殖环境，围绕我国生猪育种关键技术自主创新不足、种猪性能遗传进展不明显等重大瓶颈问题，</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凝练形成“揭榜挂帅”</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榜单，现将榜单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建设内容</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及要求</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目标</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予以发布。</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一</w:t>
      </w: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）建设内容</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开展</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粤系</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猪种资源收集保存、鉴定评价与资源特性挖掘，建立地方猪遗传资源数据库，奠定种质创制基础；利用我省现有瘦肉型猪和地方猪种质资源，以</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种猪</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繁殖性能、</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产肉能力</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和肉质</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性状改良</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等为</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主要</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目标，</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开展种猪全基因组选择、智能测定等关键技术研究，建立融合基因组信息的种猪遗传评估技术共享平台；</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围绕种猪育种数字化、智能化目标，集成育种产业化技术</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构建</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优秀种猪</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资源</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和育种数据</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共享的新型良种猪繁育体系</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推动</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我省种猪</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繁育体系整体遗传改良</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提升</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培育出分别以肉质优良、繁殖效率及饲料利用率高为主要特点，符合多元化市场需求和具有市场竞争力的粤系种猪新品系和新品种（配套系）。</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二</w:t>
      </w: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需求目标</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1.基础性整体需求</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建立开放共享的大型种猪育种数据平台</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1个；</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新型良种猪</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育种与繁殖成套关键技术</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体系</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1套；</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培育</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具有市场竞争力的粤系种猪新品种（配套系）</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1个。</w:t>
      </w:r>
    </w:p>
    <w:p>
      <w:pPr>
        <w:widowControl/>
        <w:adjustRightInd w:val="0"/>
        <w:snapToGrid w:val="0"/>
        <w:spacing w:line="560" w:lineRule="exact"/>
        <w:ind w:firstLine="643" w:firstLineChars="200"/>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2.</w:t>
      </w:r>
      <w:r>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t>中期考核</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基础性需求</w:t>
      </w:r>
    </w:p>
    <w:p>
      <w:pPr>
        <w:widowControl w:val="0"/>
        <w:adjustRightInd w:val="0"/>
        <w:snapToGrid w:val="0"/>
        <w:spacing w:line="560" w:lineRule="exact"/>
        <w:ind w:firstLine="640" w:firstLineChars="200"/>
        <w:jc w:val="both"/>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完成</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省内不少于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0</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家省级</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及以上</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核心育种场的种猪育种数据整合共享，初步完成开放共享育种技术体系；</w:t>
      </w:r>
    </w:p>
    <w:p>
      <w:pPr>
        <w:widowControl w:val="0"/>
        <w:adjustRightInd w:val="0"/>
        <w:snapToGrid w:val="0"/>
        <w:spacing w:line="560" w:lineRule="exact"/>
        <w:ind w:firstLine="640" w:firstLineChars="200"/>
        <w:jc w:val="both"/>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初步建成“核心育种群-种公猪站-扩繁体系”协同高效的省级种猪繁育体系</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初步建立核心育种场的遗传关联，场间遗传联系</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不低于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p>
    <w:p>
      <w:pPr>
        <w:widowControl w:val="0"/>
        <w:adjustRightInd w:val="0"/>
        <w:snapToGrid w:val="0"/>
        <w:spacing w:line="560" w:lineRule="exact"/>
        <w:ind w:firstLine="640" w:firstLineChars="200"/>
        <w:jc w:val="both"/>
        <w:rPr>
          <w:rFonts w:hint="eastAsia" w:ascii="Times New Roman" w:hAnsi="Times New Roman" w:eastAsia="仿宋_GB2312" w:cs="Times New Roman"/>
          <w:b w:val="0"/>
          <w:bCs w:val="0"/>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基本完成</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1个</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粤系种猪新品种（配套系）培育，条件基本达到国家审定要求。</w:t>
      </w:r>
    </w:p>
    <w:p>
      <w:pPr>
        <w:widowControl/>
        <w:adjustRightInd w:val="0"/>
        <w:snapToGrid w:val="0"/>
        <w:spacing w:line="560" w:lineRule="exact"/>
        <w:ind w:firstLine="643" w:firstLineChars="200"/>
        <w:jc w:val="both"/>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pP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三</w:t>
      </w: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项目资金额度</w:t>
      </w:r>
      <w:r>
        <w:rPr>
          <w:rFonts w:hint="eastAsia"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和时间节点</w:t>
      </w:r>
    </w:p>
    <w:p>
      <w:pPr>
        <w:widowControl/>
        <w:adjustRightInd w:val="0"/>
        <w:snapToGrid w:val="0"/>
        <w:spacing w:line="560" w:lineRule="exact"/>
        <w:ind w:firstLine="640" w:firstLineChars="200"/>
        <w:jc w:val="both"/>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项目实施期暂定为3年，</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立项 18 个月后开展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2022年</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启动</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资金额度不超过300万元，项目</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牵头申报</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单位按年度申请</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项目资金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，主管单位依据项目支出进度和</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绩效完成情况，结合当年度财政资金预算安排情况，对项目资金安排实施“动态化调整”。</w:t>
      </w:r>
    </w:p>
    <w:p>
      <w:pPr>
        <w:widowControl/>
        <w:adjustRightInd w:val="0"/>
        <w:snapToGrid w:val="0"/>
        <w:spacing w:line="560" w:lineRule="exact"/>
        <w:ind w:firstLine="643" w:firstLineChars="200"/>
        <w:jc w:val="both"/>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四</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攻关和考核要求</w:t>
      </w:r>
    </w:p>
    <w:p>
      <w:pPr>
        <w:widowControl/>
        <w:adjustRightInd w:val="0"/>
        <w:snapToGrid w:val="0"/>
        <w:spacing w:line="560" w:lineRule="exact"/>
        <w:ind w:firstLine="640" w:firstLineChars="200"/>
        <w:jc w:val="both"/>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项目揭榜挂帅申报需完成榜单建设内容，涵盖所有基础性整体绩效和中期考核基础性绩效，并在此基础上设置揭榜整体绩效和中期考核绩效。项目申报需编制项目启动资金300万元的经费预算。</w:t>
      </w:r>
    </w:p>
    <w:p>
      <w:pPr>
        <w:widowControl/>
        <w:adjustRightInd w:val="0"/>
        <w:snapToGrid w:val="0"/>
        <w:spacing w:line="560" w:lineRule="exact"/>
        <w:ind w:firstLine="640" w:firstLineChars="200"/>
        <w:jc w:val="both"/>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揭榜立项后，揭榜团队须签署“军令状”，对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考核要求、经费拨付方式、奖惩措施和成果归属等进行具体约定，并将榜单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绩效</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 xml:space="preserve">目标摆在突出位置，集中优势资源，全力开展限时攻关。项目负责人在攻关期间，原则上不得调离或辞去工作职位。 </w:t>
      </w:r>
    </w:p>
    <w:p>
      <w:pPr>
        <w:widowControl/>
        <w:adjustRightInd w:val="0"/>
        <w:snapToGrid w:val="0"/>
        <w:spacing w:line="560" w:lineRule="exact"/>
        <w:ind w:firstLine="640" w:firstLineChars="200"/>
        <w:jc w:val="both"/>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项目实施过程中，将最终用户意见作为重要考量，通过实地勘察、仿真评测、应用环境检测等方式开展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 xml:space="preserve">考核。 </w:t>
      </w:r>
    </w:p>
    <w:p>
      <w:pPr>
        <w:widowControl/>
        <w:adjustRightInd w:val="0"/>
        <w:snapToGrid w:val="0"/>
        <w:spacing w:line="560" w:lineRule="exact"/>
        <w:ind w:firstLine="640" w:firstLineChars="200"/>
        <w:jc w:val="both"/>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项目验收将通过现场验收、用户和第三方测评等方式，在真实应用场景下开展，并充分发挥最终用户作用，以成败论英雄。由于主观不努力等因素导致攻关失败的，将按照有关规定严肃追责，并依规纳入诚信记录。</w:t>
      </w:r>
    </w:p>
    <w:p>
      <w:pPr>
        <w:adjustRightInd w:val="0"/>
        <w:snapToGrid w:val="0"/>
        <w:spacing w:line="560" w:lineRule="exact"/>
        <w:ind w:firstLine="640" w:firstLineChars="200"/>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项目成果</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需由</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广州国家</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现代农业产业</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科</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技</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创</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新</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中心</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进行编码</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、登记、</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备案</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和</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发布</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二、</w:t>
      </w: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南美白对虾种质创制与产业化</w:t>
      </w:r>
    </w:p>
    <w:p>
      <w:pPr>
        <w:adjustRightInd w:val="0"/>
        <w:snapToGrid w:val="0"/>
        <w:spacing w:line="560" w:lineRule="exact"/>
        <w:ind w:firstLine="640" w:firstLineChars="200"/>
        <w:rPr>
          <w:color w:val="000000" w:themeColor="text1"/>
          <w:highlight w:val="none"/>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为深入学习贯彻习近平总书记关于农业科技创新的重要讲话和指示批示精神，落实省第十三次党代会工作部署，</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切实加强创新链和产业链对接，“南美白对虾种质创制与产业化”</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方向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聚焦国家战略亟需、应用导向鲜明、最终用户明确的重大攻关需求，</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针对制约南美白对虾产业稳定发展的良种问题，</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凝练形成 “揭榜挂帅”</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榜单，现将榜单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建设内容</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及要求</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目标</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予以发布。</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一</w:t>
      </w: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）建设内容</w:t>
      </w:r>
    </w:p>
    <w:p>
      <w:pPr>
        <w:adjustRightInd w:val="0"/>
        <w:snapToGrid w:val="0"/>
        <w:spacing w:line="560" w:lineRule="exact"/>
        <w:ind w:firstLine="640" w:firstLineChars="200"/>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开展全球来源的南美白对虾种质资源收集保存和鉴定评价，建立种质资源活体保存中心和遗传资源库，并向行业开放；</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针对</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南美白对虾种质资源，</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开展基因组学分析；</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开发表型性状评价技术、表型自动测定技术、分子育种芯片、分子设计育种技术，建立分子标记+表型大数据的育种模式；</w:t>
      </w:r>
    </w:p>
    <w:p>
      <w:pPr>
        <w:adjustRightInd w:val="0"/>
        <w:snapToGrid w:val="0"/>
        <w:spacing w:line="560" w:lineRule="exact"/>
        <w:ind w:firstLine="0" w:firstLineChars="0"/>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围绕不同养殖模式、养殖环境需求，培育生长快、抗病、抗逆、饲料高效利用和综合性状突出的新品种；建立南美白对虾主要病原高通量检测技术，构建无特定病原（SPF）亲本扩繁和虾苗生产技术。</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二</w:t>
      </w: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需求目标</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1.基础性整体需求</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建立种质资源活体保存中心和遗传资源库</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各</w:t>
      </w:r>
      <w:r>
        <w:rPr>
          <w:rFonts w:hint="eastAsia" w:ascii="Times New Roman" w:hAnsi="Times New Roman" w:eastAsia="仿宋_GB2312" w:cs="Times New Roman"/>
          <w:color w:val="000000" w:themeColor="text1"/>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1个</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，并向行业开放</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南美白对虾基因组学分析技术</w:t>
      </w:r>
      <w:r>
        <w:rPr>
          <w:rFonts w:hint="eastAsia" w:ascii="Times New Roman" w:hAnsi="Times New Roman" w:eastAsia="仿宋_GB2312" w:cs="Times New Roman"/>
          <w:color w:val="000000" w:themeColor="text1"/>
          <w:sz w:val="32"/>
          <w:szCs w:val="32"/>
          <w:highlight w:val="none"/>
          <w:shd w:val="clear" w:color="auto" w:fill="FFFFFF"/>
          <w:lang w:val="en-US" w:eastAsia="zh-CN"/>
          <w14:textFill>
            <w14:solidFill>
              <w14:schemeClr w14:val="tx1"/>
            </w14:solidFill>
          </w14:textFill>
        </w:rPr>
        <w:t>不少于3</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套，</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主要病原检测技术</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10套</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SPF良种扩繁与虾苗生产</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成套</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技术</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1套</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培育</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综合性状突出的</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南美白对虾</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新品种</w:t>
      </w:r>
      <w:r>
        <w:rPr>
          <w:rFonts w:hint="eastAsia" w:ascii="Times New Roman" w:hAnsi="Times New Roman" w:eastAsia="仿宋_GB2312" w:cs="Times New Roman"/>
          <w:color w:val="000000" w:themeColor="text1"/>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2</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项目执行期间共生产南美白对虾良种虾苗</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2000亿尾</w:t>
      </w:r>
      <w:r>
        <w:rPr>
          <w:rFonts w:hint="eastAsia"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w:t>
      </w:r>
    </w:p>
    <w:p>
      <w:pPr>
        <w:widowControl/>
        <w:adjustRightInd w:val="0"/>
        <w:snapToGrid w:val="0"/>
        <w:spacing w:line="560" w:lineRule="exact"/>
        <w:ind w:firstLine="643"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2.</w:t>
      </w:r>
      <w:r>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t>中期考核</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基础性需求</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建立种质资源活体保存中心</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1个；</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南美白对虾基因组学分析技术</w:t>
      </w:r>
      <w:r>
        <w:rPr>
          <w:rFonts w:hint="eastAsia" w:ascii="Times New Roman" w:hAnsi="Times New Roman" w:eastAsia="仿宋_GB2312" w:cs="Times New Roman"/>
          <w:color w:val="000000" w:themeColor="text1"/>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2</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套，</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主要病原检测技术</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不少于3</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套</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培育</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综合性状突出的</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南美白对虾核心群体</w:t>
      </w:r>
      <w:r>
        <w:rPr>
          <w:rFonts w:hint="eastAsia" w:ascii="Times New Roman" w:hAnsi="Times New Roman" w:eastAsia="仿宋_GB2312" w:cs="Times New Roman"/>
          <w:color w:val="000000" w:themeColor="text1"/>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3个</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p>
    <w:p>
      <w:pPr>
        <w:adjustRightInd w:val="0"/>
        <w:snapToGrid w:val="0"/>
        <w:spacing w:line="560" w:lineRule="exact"/>
        <w:ind w:firstLine="640"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考核节点内</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生产南美白对虾良种虾苗</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不少于10</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00亿尾</w:t>
      </w:r>
      <w:r>
        <w:rPr>
          <w:rFonts w:hint="eastAsia"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w:t>
      </w:r>
    </w:p>
    <w:p>
      <w:pPr>
        <w:widowControl/>
        <w:adjustRightInd w:val="0"/>
        <w:snapToGrid w:val="0"/>
        <w:spacing w:line="560" w:lineRule="exact"/>
        <w:ind w:firstLine="643" w:firstLineChars="200"/>
        <w:jc w:val="left"/>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pP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三</w:t>
      </w: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项目资金额度</w:t>
      </w:r>
      <w:r>
        <w:rPr>
          <w:rFonts w:hint="eastAsia"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和时间节点</w:t>
      </w:r>
    </w:p>
    <w:p>
      <w:pPr>
        <w:widowControl/>
        <w:adjustRightInd w:val="0"/>
        <w:snapToGrid w:val="0"/>
        <w:spacing w:line="560" w:lineRule="exact"/>
        <w:ind w:firstLine="640"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项目实施期暂定为3年，</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立项 18 个月后开展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2022年</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启动</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资金额度不超过300万元，项目</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牵头申报</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单位按年度申请</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项目资金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，主管单位依据项目支出进度和</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绩效完成情况，结合当年度财政资金预算安排情况，对项目资金安排实施“动态化调整”。</w:t>
      </w:r>
    </w:p>
    <w:p>
      <w:pPr>
        <w:widowControl/>
        <w:adjustRightInd w:val="0"/>
        <w:snapToGrid w:val="0"/>
        <w:spacing w:line="560" w:lineRule="exact"/>
        <w:ind w:firstLine="643"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四</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攻关和考核要求</w:t>
      </w:r>
    </w:p>
    <w:p>
      <w:pPr>
        <w:widowControl/>
        <w:adjustRightInd w:val="0"/>
        <w:snapToGrid w:val="0"/>
        <w:spacing w:line="560" w:lineRule="exact"/>
        <w:ind w:firstLine="640" w:firstLineChars="200"/>
        <w:jc w:val="both"/>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项目揭榜挂帅申报需完成榜单建设内容，涵盖所有基础性整体绩效和中期考核基础性绩效，并在此基础上设置揭榜整体绩效和中期考核绩效。项目申报需编制项目启动资金300万元的经费预算。</w:t>
      </w:r>
    </w:p>
    <w:p>
      <w:pPr>
        <w:widowControl/>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揭榜立项后，揭榜团队须签署“军令状”，对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考核要求、经费拨付方式、奖惩措施和成果归属等进行具体约定，并将榜单任务</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绩效</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 xml:space="preserve">摆在突出位置，集中优势资源，全力开展限时攻关。项目负责人在攻关期间，原则上不得调离或辞去工作职位。 </w:t>
      </w:r>
    </w:p>
    <w:p>
      <w:pPr>
        <w:widowControl/>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项目实施过程中，将最终用户意见作为重要考量，通过实地勘察、仿真评测、应用环境检测等方式开展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 xml:space="preserve">考核。 </w:t>
      </w:r>
    </w:p>
    <w:p>
      <w:pPr>
        <w:widowControl/>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项目验收将通过现场验收、用户和第三方测评等方式，在真实应用场景下开展，并充分发挥最终用户作用，以成败论英雄。由于主观不努力等因素导致攻关失败的，将按照有关规定严肃追责，并依规纳入诚信记录。</w:t>
      </w:r>
    </w:p>
    <w:p>
      <w:pPr>
        <w:adjustRightInd w:val="0"/>
        <w:snapToGrid w:val="0"/>
        <w:spacing w:line="560" w:lineRule="exact"/>
        <w:ind w:firstLine="640" w:firstLineChars="200"/>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项目成果</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需由</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广州国家</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现代农业产业</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科</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技</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创</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新</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中心</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进行编码</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、登记、</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备案</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和</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发布</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三、</w:t>
      </w: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广东重要农作物功能基因挖掘与应用</w:t>
      </w:r>
    </w:p>
    <w:p>
      <w:pPr>
        <w:adjustRightInd w:val="0"/>
        <w:snapToGrid w:val="0"/>
        <w:spacing w:line="560" w:lineRule="exact"/>
        <w:ind w:firstLine="640"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为深入学习贯彻习近平总书记关于农业科技创新的重要讲话和指示批示精神，落实省第十三次党代会工作部署，</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切实加强创新链和产业链对接，“广东重要农作物功能基因挖掘与应用”</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方向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聚焦国家战略亟需、应用导向鲜明、最终用户明确的重大攻关需求，针对</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广东农作物育种中品种同质化严重，遗传多样性狭窄，</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以及主要作物的高产优质协同改良、资源高效利用、适宜轻简栽培、新种质创制速度慢</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等</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瓶颈问题</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凝练形成 “揭榜挂帅”</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榜单，现将榜单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建设内容</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及要求</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目标</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予以发布。</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一</w:t>
      </w: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）建设内容</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首期以水稻、南方大豆和花生等农作物为研究对象</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挖掘</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高产、优质</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和</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高抗</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等重要性状关键功能基因，解析其分子机制和遗传调控网络，为分子育种提供新的靶标基因；提高育种效率、缩短育种周期为目标，开发新一代杂交育种技术，数据驱动的育种技术等，创建高效、精准的作物育种技术体系；利用前沿分子育种理论和技术，以广东已有优异品种为基础，进行高产、优质、高抗等产业亟需性状的快速改良，选育突破性新品种，推动广东农作物产业升级，为破解广东重要农作物的品种普遍存在产量与品质，产量与抗性之间的矛盾提供模式典范；聚焦广东特色粮油作物，培育符合广东及华南地区市场化需求的高产优质丝苗米、南方大豆、专用花生新品种，开发具有市场竞争力的新产品。</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二</w:t>
      </w: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需求目标</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1.基础性整体需求</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挖掘和标记定位克隆高产、优质等农作物重要性状的新关键调控基因</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不少于5</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构建育种核心材料多组学数据库</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1个，研发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作物育种新技术</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1个，申请发明专利、软件著作权等知识产权共</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10件</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创制适于华南地区的农作物育种新材料</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30份</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申请或审定高产优质植物新品种权或新品种共</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不少于10</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研制相匹配的生物产品</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1个</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p>
    <w:p>
      <w:pPr>
        <w:widowControl/>
        <w:adjustRightInd w:val="0"/>
        <w:snapToGrid w:val="0"/>
        <w:spacing w:line="560" w:lineRule="exact"/>
        <w:ind w:firstLine="643"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2.</w:t>
      </w:r>
      <w:r>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t>中期考核</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基础性需求</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挖掘和标记定位克隆高产、优质等农作物重要性状的新关键调控基因</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不少于3</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构建育种核心材料多组学数据库</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1个，研发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作物育种新技术</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1个，申请发明专利、软件著作权等知识产权共</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不少于5</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件</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p>
    <w:p>
      <w:pPr>
        <w:adjustRightInd w:val="0"/>
        <w:snapToGrid w:val="0"/>
        <w:spacing w:line="560" w:lineRule="exact"/>
        <w:ind w:firstLine="640" w:firstLineChars="200"/>
        <w:rPr>
          <w:rFonts w:hint="eastAsia" w:eastAsia="仿宋_GB2312"/>
          <w:color w:val="000000" w:themeColor="text1"/>
          <w:highlight w:val="none"/>
          <w:lang w:eastAsia="zh-CN"/>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创制适于华南地区的农作物育种新材料</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不少于15</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份</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申请或审定高产优质植物新品种权或新品种</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不少于3</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widowControl/>
        <w:adjustRightInd w:val="0"/>
        <w:snapToGrid w:val="0"/>
        <w:spacing w:line="560" w:lineRule="exact"/>
        <w:ind w:firstLine="643" w:firstLineChars="200"/>
        <w:jc w:val="left"/>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pP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三</w:t>
      </w: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项目资金额度</w:t>
      </w:r>
      <w:r>
        <w:rPr>
          <w:rFonts w:hint="eastAsia"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和时间节点</w:t>
      </w:r>
    </w:p>
    <w:p>
      <w:pPr>
        <w:widowControl/>
        <w:adjustRightInd w:val="0"/>
        <w:snapToGrid w:val="0"/>
        <w:spacing w:line="560" w:lineRule="exact"/>
        <w:ind w:firstLine="640"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项目实施期暂定为3年，</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立项 18 个月后开展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2022年</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启动</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资金额度不超过300万元，项目</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牵头申报</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单位按年度申请</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项目资金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，主管单位依据项目支出进度和</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绩效完成情况，结合当年度财政资金预算安排情况，对项目资金安排实施“动态化调整”。</w:t>
      </w:r>
    </w:p>
    <w:p>
      <w:pPr>
        <w:widowControl/>
        <w:adjustRightInd w:val="0"/>
        <w:snapToGrid w:val="0"/>
        <w:spacing w:line="560" w:lineRule="exact"/>
        <w:ind w:firstLine="643"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四</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攻关和考核要求</w:t>
      </w:r>
    </w:p>
    <w:p>
      <w:pPr>
        <w:widowControl/>
        <w:adjustRightInd w:val="0"/>
        <w:snapToGrid w:val="0"/>
        <w:spacing w:line="560" w:lineRule="exact"/>
        <w:ind w:firstLine="640" w:firstLineChars="200"/>
        <w:jc w:val="both"/>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项目揭榜挂帅申报需完成榜单建设内容，涵盖所有基础性整体绩效和中期考核基础性绩效，并在此基础上设置揭榜整体绩效和中期考核绩效。项目申报需编制项目启动资金300万元的经费预算。</w:t>
      </w:r>
    </w:p>
    <w:p>
      <w:pPr>
        <w:widowControl/>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揭榜立项后，揭榜团队须签署“军令状”，对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考核要求、经费拨付方式、奖惩措施和成果归属等进行具体约定，并将榜单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绩效</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 xml:space="preserve">目标摆在突出位置，集中优势资源，全力开展限时攻关。项目负责人在攻关期间，原则上不得调离或辞去工作职位。 </w:t>
      </w:r>
    </w:p>
    <w:p>
      <w:pPr>
        <w:widowControl/>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项目实施过程中，将最终用户意见作为重要考量，通过实地勘察、仿真评测、应用环境检测等方式开展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 xml:space="preserve">考核。 </w:t>
      </w:r>
    </w:p>
    <w:p>
      <w:pPr>
        <w:widowControl/>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项目验收将通过现场验收、用户和第三方测评等方式，在真实应用场景下开展，并充分发挥最终用户作用，以成败论英雄。由于主观不努力等因素导致攻关失败的，将按照有关规定严肃追责，并依规纳入诚信记录。</w:t>
      </w:r>
    </w:p>
    <w:p>
      <w:pPr>
        <w:adjustRightInd w:val="0"/>
        <w:snapToGrid w:val="0"/>
        <w:spacing w:line="560" w:lineRule="exact"/>
        <w:ind w:firstLine="640"/>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项目成果</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需由</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广州国家</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现代农业产业</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科</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技</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创</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新</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中心</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进行编码</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、登记、</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备案</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和</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发布。</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四、南方耕地土壤退化阻控技术</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为深入学习贯彻习近平总书记关于农业科技创新的重要讲话和指示批示精神，落实省第十三次党代会工作部署，</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切实加强创新链和产业链对接，“南方耕地土壤退化阻控技术”</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方向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聚焦国家战略亟需、应用导向鲜明、最终用户明确的重大攻关需求，针对南方耕地普遍存在的土壤酸化、贫瘠化、连作障碍、土壤污染等退化问题</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凝练形成 “揭榜挂帅”</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榜单，现将榜单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建设内容</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及要求</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目标</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予以发布。</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（一）建设内容</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首期</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以稻田、菜地、园地</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等</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为主要对象</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重点研究耕地土壤中碳氮磷等养分元素、铁铝硅等地球化学元素、重金属等污染元素的生物地球化学循环，创新一体化解决土壤酸化、贫瘠化、连作障碍、土壤污染的协同阻控技术原理</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研发具有自主知识产权的功能材料与微生物菌剂，重点解决耕地土壤退化阻控协同重金属污染治理的微生物组“卡脖子”技术，突破传统农艺措施阻控目标单一的技术瓶颈</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研制耕地土壤退化阻控协同重金属污染治理的有机-无机复合调理剂、微生物菌剂，重点研究土壤质量提升与退化阻控的技术标准体系，并</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在</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国际标准与国家标准方面取得突破。</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（二）需求目标</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1.基础性整体需求</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研发地球化学、微生物阻控新技术</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不少于5</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研制阻控功能新材料</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不少于5</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研制有机-无机复合调理剂、功能菌剂</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不少于5</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申请或授权发明专利</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10件，编制省级及以上技术标准</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5项；</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建立产品工业化生产线</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2条，获得产品认证</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2个。</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jc w:val="left"/>
        <w:textAlignment w:val="auto"/>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2.</w:t>
      </w:r>
      <w:r>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t>中期考核</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基础性需求</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研发地球化学、微生物阻控新技术</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不少于3</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研制阻控功能新材料</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不少于3</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研制有机-无机复合调理剂、功能菌剂</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不少于3</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申请或授权发明专利</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5件，编制省级及以上技术标准</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2项（征求意见稿以通过专家组评审为准）；</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建立产品工业化生产线</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1条。</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jc w:val="left"/>
        <w:textAlignment w:val="auto"/>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pP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三</w:t>
      </w: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项目资金额度</w:t>
      </w:r>
      <w:r>
        <w:rPr>
          <w:rFonts w:hint="eastAsia"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和时间节点</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项目实施期暂定为3年，</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立项 18 个月后开展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2022年</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启动</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资金额度不超过300万元，项目</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牵头申报</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单位按年度申请</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项目资金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，主管单位依据项目支出进度和</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绩效完成情况，结合当年度财政资金预算安排情况，对项目资金安排实施“动态化调整”。</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jc w:val="left"/>
        <w:textAlignment w:val="auto"/>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四</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攻关和考核要求</w:t>
      </w:r>
    </w:p>
    <w:p>
      <w:pPr>
        <w:widowControl/>
        <w:adjustRightInd w:val="0"/>
        <w:snapToGrid w:val="0"/>
        <w:spacing w:line="560" w:lineRule="exact"/>
        <w:ind w:firstLine="640" w:firstLineChars="200"/>
        <w:jc w:val="both"/>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项目揭榜挂帅申报需完成榜单建设内容，涵盖所有基础性整体绩效和中期考核基础性绩效，并在此基础上设置揭榜整体绩效和中期考核绩效。项目申报需编制项目启动资金300万元的经费预算。</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揭榜立项后，揭榜团队须签署“军令状”，对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考核要求、经费拨付方式、奖惩措施和成果归属等进行具体约定，并将榜单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绩效</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 xml:space="preserve">目标摆在突出位置，集中优势资源，全力开展限时攻关。项目负责人在攻关期间，原则上不得调离或辞去工作职位。 </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项目实施过程中，将最终用户意见作为重要考量，通过实地勘察、仿真评测、应用环境检测等方式开展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 xml:space="preserve">考核。 </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项目验收将通过现场验收、用户和第三方测评等方式，在真实应用场景下开展，并充分发挥最终用户作用，以成败论英雄。由于主观不努力等因素导致攻关失败的，将按照有关规定严肃追责，并依规纳入诚信记录。</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项目成果</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需由</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广州国家</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现代农业产业</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科</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技</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创</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新</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中心</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进行编码</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、登记、</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备案</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和</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发布</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t>五、</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农业农村“碳达峰”“碳中和”微生物组研发与应用技术</w:t>
      </w:r>
    </w:p>
    <w:p>
      <w:pPr>
        <w:adjustRightInd w:val="0"/>
        <w:snapToGrid w:val="0"/>
        <w:spacing w:line="560" w:lineRule="exact"/>
        <w:ind w:firstLine="640" w:firstLineChars="200"/>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为深入学习贯彻习近平总书记关于农业科技创新的重要讲话和指示批示精神，落实省第十三次党代会工作部署，</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切实加强创新链和产业链对接，“农业农村‘碳达峰’‘碳中和’微生物组研发与应用技术”</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方向</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聚焦国家战略亟需、应用导向鲜明、最终用户明确的重大攻关需求，针对广东省农业农村种植与养殖过程中的碳汇机制不清、减排技术储备不足的问题</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凝练形成“揭榜挂帅”</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榜单，现将榜单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建设内容</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及要求</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目标</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予以发布。</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t>一</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）建设内容</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农业种植过程</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首期以</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园艺作物</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为研究对象，</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研究抗逆响应和土壤固碳的微生物组学机制，解析抗逆固碳的关键功能微生物，建立园艺作物种植过程中抗逆、固碳的微生物组技术和原理；农业</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养殖</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过程</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首期以畜禽养殖为研究对象，</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究养殖过程中畜禽代谢耦合温室气体排放、低碳养殖的微生物组学机制，解析减排除臭的关键功能微生物，建立养殖过程中温室气体减排、有机废弃物资源化利用过程的固碳减排微生物组技术原理；挖掘种养过程中系列抗逆、固碳、温室气体减排、促进饲料养分消化吸收、提高饲料利用率的功能微生物菌株，提高种养废弃物循环利用效率，建立低碳种养循环体系。创制广谱高效的合成菌群，研发具有自主知识产权的一体化解决上述难题的功能微生物菌剂，重点突破固碳减排的微生物组“卡脖子”技术瓶颈；构建农业抗逆固碳减排的微生物组产业化体系，形成具有亚热带特色的面向农业“碳中和”的“土壤-作物-微生物”三位一体以及种、养结合的抗逆固碳减排微生物组技术体系。</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t>二</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t>需求目标</w:t>
      </w:r>
    </w:p>
    <w:p>
      <w:pPr>
        <w:adjustRightInd w:val="0"/>
        <w:snapToGrid w:val="0"/>
        <w:spacing w:line="560" w:lineRule="exact"/>
        <w:ind w:firstLine="643" w:firstLineChars="200"/>
        <w:rPr>
          <w:rFonts w:hint="default"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t>1.基础性整体需求</w:t>
      </w:r>
    </w:p>
    <w:p>
      <w:pPr>
        <w:adjustRightInd w:val="0"/>
        <w:snapToGrid w:val="0"/>
        <w:spacing w:line="560" w:lineRule="exact"/>
        <w:ind w:firstLine="640" w:firstLineChars="200"/>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建立农业固碳减排微生物组数据库和种质资源库各</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1个</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w:t>
      </w:r>
    </w:p>
    <w:p>
      <w:pPr>
        <w:adjustRightInd w:val="0"/>
        <w:snapToGrid w:val="0"/>
        <w:spacing w:line="560" w:lineRule="exact"/>
        <w:ind w:firstLine="640" w:firstLineChars="200"/>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建立</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微生物组促进园艺作物抗逆固碳</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等</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新技术</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研制微生物组菌剂并登记生产产品</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不少于3</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w:t>
      </w:r>
    </w:p>
    <w:p>
      <w:pPr>
        <w:adjustRightInd w:val="0"/>
        <w:snapToGrid w:val="0"/>
        <w:spacing w:line="560" w:lineRule="exact"/>
        <w:ind w:firstLine="640" w:firstLineChars="200"/>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研制促进畜禽饲料</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转化率</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等功能菌剂产品</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3个</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，并建立</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菌剂生产线</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1条</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w:t>
      </w:r>
    </w:p>
    <w:p>
      <w:pPr>
        <w:adjustRightInd w:val="0"/>
        <w:snapToGrid w:val="0"/>
        <w:spacing w:line="560" w:lineRule="exact"/>
        <w:ind w:firstLine="640" w:firstLineChars="200"/>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建立</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种养废弃物微生物组联合高效发酵生产有机肥技术</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登记高品质有机肥等相关新产品</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建立规模化生产线</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1条，年处理有机固体废弃物等</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不低于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5万吨</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adjustRightInd w:val="0"/>
        <w:snapToGrid w:val="0"/>
        <w:spacing w:line="560" w:lineRule="exact"/>
        <w:ind w:firstLine="640" w:firstLineChars="200"/>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建立</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不少于1个</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200亩</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以上</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园艺作物应用示范基地</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抗逆性能提高15%</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以上</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、土壤碳固持量增加10%</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以上；</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建立</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不少于1个</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200亩</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以上</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土壤固碳核心示范区，甲烷与氧化亚氮减排30%</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以上</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，土壤碳汇增加量1吨二氧化碳当量/公顷/年</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以上</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widowControl/>
        <w:adjustRightInd w:val="0"/>
        <w:snapToGrid w:val="0"/>
        <w:spacing w:line="560" w:lineRule="exact"/>
        <w:ind w:firstLine="643" w:firstLineChars="200"/>
        <w:jc w:val="left"/>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t>2.中期考核基础性需求</w:t>
      </w:r>
    </w:p>
    <w:p>
      <w:pPr>
        <w:adjustRightInd w:val="0"/>
        <w:snapToGrid w:val="0"/>
        <w:spacing w:line="560" w:lineRule="exact"/>
        <w:ind w:firstLine="640" w:firstLineChars="200"/>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基本</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成</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农业固碳减排微生物组数据库和种质资源库各1个</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w:t>
      </w:r>
    </w:p>
    <w:p>
      <w:pPr>
        <w:adjustRightInd w:val="0"/>
        <w:snapToGrid w:val="0"/>
        <w:spacing w:line="560" w:lineRule="exact"/>
        <w:ind w:firstLine="640" w:firstLineChars="200"/>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建立</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微生物组促进园艺作物抗逆固碳</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等</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新技术</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不少于2</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研制微生物组菌剂并登记生产产品</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不少于2</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w:t>
      </w:r>
    </w:p>
    <w:p>
      <w:pPr>
        <w:adjustRightInd w:val="0"/>
        <w:snapToGrid w:val="0"/>
        <w:spacing w:line="560" w:lineRule="exact"/>
        <w:ind w:firstLine="640" w:firstLineChars="200"/>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研制促进畜禽饲料</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转化率</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等功能菌剂产品</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不少于2</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，并建立</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菌剂生产线</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1条</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w:t>
      </w:r>
    </w:p>
    <w:p>
      <w:pPr>
        <w:adjustRightInd w:val="0"/>
        <w:snapToGrid w:val="0"/>
        <w:spacing w:line="560" w:lineRule="exact"/>
        <w:ind w:firstLine="640" w:firstLineChars="200"/>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建立</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种养废弃物微生物组联合高效发酵生产有机肥技术</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登记高品质有机肥等相关新产品</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不少于2</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建立规模化生产线1条</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adjustRightInd w:val="0"/>
        <w:snapToGrid w:val="0"/>
        <w:spacing w:line="560" w:lineRule="exact"/>
        <w:ind w:firstLine="640" w:firstLineChars="200"/>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建</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成1个1</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00亩</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以上</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园艺作物应用示范基地</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抗逆性能提高15%</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以上</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、土壤碳固持量增加10%</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以上；</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建</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成1个1</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00亩</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以上</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土壤固碳核心示范区，甲烷与氧化亚氮减排30%</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以上</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，土壤碳汇增加量1吨二氧化碳当量/公顷/年</w:t>
      </w:r>
      <w:r>
        <w:rPr>
          <w:rFonts w:hint="eastAsia" w:ascii="仿宋_GB2312" w:hAnsi="仿宋_GB2312" w:eastAsia="仿宋_GB2312" w:cs="仿宋_GB2312"/>
          <w:color w:val="000000" w:themeColor="text1"/>
          <w:kern w:val="0"/>
          <w:sz w:val="32"/>
          <w:szCs w:val="32"/>
          <w:highlight w:val="none"/>
          <w:shd w:val="clear" w:color="auto" w:fill="FFFFFF"/>
          <w:lang w:val="en-US" w:eastAsia="zh-CN"/>
          <w14:textFill>
            <w14:solidFill>
              <w14:schemeClr w14:val="tx1"/>
            </w14:solidFill>
          </w14:textFill>
        </w:rPr>
        <w:t>以上</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widowControl/>
        <w:adjustRightInd w:val="0"/>
        <w:snapToGrid w:val="0"/>
        <w:spacing w:line="560" w:lineRule="exact"/>
        <w:ind w:firstLine="643" w:firstLineChars="200"/>
        <w:jc w:val="left"/>
        <w:rPr>
          <w:rFonts w:hint="default" w:ascii="Times New Roman" w:hAnsi="Times New Roman" w:eastAsia="仿宋_GB2312" w:cs="Times New Roman"/>
          <w:b/>
          <w:bCs/>
          <w:color w:val="000000" w:themeColor="text1"/>
          <w:kern w:val="0"/>
          <w:sz w:val="32"/>
          <w:szCs w:val="32"/>
          <w:highlight w:val="none"/>
          <w:shd w:val="clear" w:color="auto" w:fill="FFFFFF"/>
          <w:lang w:val="en-US" w:eastAsia="zh-CN" w:bidi="ar"/>
          <w14:textFill>
            <w14:solidFill>
              <w14:schemeClr w14:val="tx1"/>
            </w14:solidFill>
          </w14:textFill>
        </w:rPr>
      </w:pP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t>三</w:t>
      </w: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项目资金额度</w:t>
      </w: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bidi="ar"/>
          <w14:textFill>
            <w14:solidFill>
              <w14:schemeClr w14:val="tx1"/>
            </w14:solidFill>
          </w14:textFill>
        </w:rPr>
        <w:t>和时间节点</w:t>
      </w:r>
    </w:p>
    <w:p>
      <w:pPr>
        <w:widowControl/>
        <w:adjustRightInd w:val="0"/>
        <w:snapToGrid w:val="0"/>
        <w:spacing w:line="560" w:lineRule="exact"/>
        <w:ind w:firstLine="640"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项目实施期暂定为3年，</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立项 18 个月后开展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2022年</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启动</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资金额度不超过300万元，项目</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牵头申报</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单位按年度申请</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项目资金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，主管单位依据项目支出进度和</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绩效完成情况，结合当年度财政资金预算安排情况，对项目资金安排实施“动态化调整”。</w:t>
      </w:r>
    </w:p>
    <w:p>
      <w:pPr>
        <w:widowControl/>
        <w:adjustRightInd w:val="0"/>
        <w:snapToGrid w:val="0"/>
        <w:spacing w:line="560" w:lineRule="exact"/>
        <w:ind w:firstLine="643"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bidi="ar"/>
          <w14:textFill>
            <w14:solidFill>
              <w14:schemeClr w14:val="tx1"/>
            </w14:solidFill>
          </w14:textFill>
        </w:rPr>
        <w:t>四</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攻关和考核要求</w:t>
      </w:r>
    </w:p>
    <w:p>
      <w:pPr>
        <w:keepNext w:val="0"/>
        <w:keepLines w:val="0"/>
        <w:widowControl/>
        <w:suppressLineNumbers w:val="0"/>
        <w:adjustRightInd w:val="0"/>
        <w:snapToGrid w:val="0"/>
        <w:spacing w:line="560" w:lineRule="exact"/>
        <w:ind w:firstLine="640" w:firstLineChars="200"/>
        <w:jc w:val="both"/>
        <w:rPr>
          <w:rFonts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项目揭榜挂帅申报需完成榜单建设内容，涵盖所有基础性整体绩效和中期考核基础性绩效，并在此基础上设置揭榜整体绩效和中期考核绩效。项目申报需编制项目启动资金300万元的经费预算。</w:t>
      </w:r>
    </w:p>
    <w:p>
      <w:pPr>
        <w:keepNext w:val="0"/>
        <w:keepLines w:val="0"/>
        <w:widowControl/>
        <w:suppressLineNumbers w:val="0"/>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揭榜立项后，揭榜团队须签署“军令状”，对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考核</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要求、经费拨付方式、奖惩措施和成果归属等进行具体约定，并将榜单任务</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绩效</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 xml:space="preserve">摆在突出位置，集中优势资源，全力开展限时攻关。项目负责人在攻关期间，原则上不得调离或辞去工作职位。 </w:t>
      </w:r>
    </w:p>
    <w:p>
      <w:pPr>
        <w:keepNext w:val="0"/>
        <w:keepLines w:val="0"/>
        <w:widowControl/>
        <w:suppressLineNumbers w:val="0"/>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项目实施过程中，将最终用户意见作为重要考量，通过实地勘察、仿真评测、应用环境检测等方式开展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 xml:space="preserve">考核。 </w:t>
      </w:r>
    </w:p>
    <w:p>
      <w:pPr>
        <w:keepNext w:val="0"/>
        <w:keepLines w:val="0"/>
        <w:widowControl/>
        <w:suppressLineNumbers w:val="0"/>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验收将通过现场验收、用户和第三方测评等方式，在真实应用场景下开展，并充分发挥最终用户作用，以成败论英雄。由于主观不努力等因素导致攻关失败的，将按照有关规定严肃追责，并依规纳入诚信记录。</w:t>
      </w:r>
    </w:p>
    <w:p>
      <w:pPr>
        <w:adjustRightInd w:val="0"/>
        <w:snapToGrid w:val="0"/>
        <w:spacing w:line="560" w:lineRule="exact"/>
        <w:ind w:firstLine="640" w:firstLineChars="200"/>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default"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项目成果</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需由</w:t>
      </w:r>
      <w:r>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广州国家</w:t>
      </w:r>
      <w:r>
        <w:rPr>
          <w:rFonts w:hint="eastAsia" w:ascii="Times New Roman" w:hAnsi="Times New Roman" w:eastAsia="仿宋_GB2312" w:cs="Times New Roman"/>
          <w:color w:val="000000" w:themeColor="text1"/>
          <w:sz w:val="32"/>
          <w:szCs w:val="32"/>
          <w:highlight w:val="none"/>
          <w:shd w:val="clear" w:color="auto" w:fill="FFFFFF"/>
          <w:lang w:val="en-US" w:eastAsia="zh-CN"/>
          <w14:textFill>
            <w14:solidFill>
              <w14:schemeClr w14:val="tx1"/>
            </w14:solidFill>
          </w14:textFill>
        </w:rPr>
        <w:t>现代农业产业</w:t>
      </w:r>
      <w:r>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科</w:t>
      </w:r>
      <w:r>
        <w:rPr>
          <w:rFonts w:hint="eastAsia" w:ascii="Times New Roman" w:hAnsi="Times New Roman" w:eastAsia="仿宋_GB2312" w:cs="Times New Roman"/>
          <w:color w:val="000000" w:themeColor="text1"/>
          <w:sz w:val="32"/>
          <w:szCs w:val="32"/>
          <w:highlight w:val="none"/>
          <w:shd w:val="clear" w:color="auto" w:fill="FFFFFF"/>
          <w:lang w:val="en-US" w:eastAsia="zh-CN"/>
          <w14:textFill>
            <w14:solidFill>
              <w14:schemeClr w14:val="tx1"/>
            </w14:solidFill>
          </w14:textFill>
        </w:rPr>
        <w:t>技</w:t>
      </w:r>
      <w:r>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创</w:t>
      </w:r>
      <w:r>
        <w:rPr>
          <w:rFonts w:hint="eastAsia" w:ascii="Times New Roman" w:hAnsi="Times New Roman" w:eastAsia="仿宋_GB2312" w:cs="Times New Roman"/>
          <w:color w:val="000000" w:themeColor="text1"/>
          <w:sz w:val="32"/>
          <w:szCs w:val="32"/>
          <w:highlight w:val="none"/>
          <w:shd w:val="clear" w:color="auto" w:fill="FFFFFF"/>
          <w:lang w:val="en-US" w:eastAsia="zh-CN"/>
          <w14:textFill>
            <w14:solidFill>
              <w14:schemeClr w14:val="tx1"/>
            </w14:solidFill>
          </w14:textFill>
        </w:rPr>
        <w:t>新</w:t>
      </w:r>
      <w:r>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中心</w:t>
      </w:r>
      <w:r>
        <w:rPr>
          <w:rFonts w:hint="default"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进行编码</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登记、</w:t>
      </w:r>
      <w:r>
        <w:rPr>
          <w:rFonts w:hint="default"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备案</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和</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发布</w:t>
      </w:r>
      <w:r>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六、柑橘黄龙病综合防控技术</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为深入学习贯彻习近平总书记关于农业科技创新的重要讲话和指示批示精神，落实省第十三次党代会工作部署，</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切实加强创新链和产业链对接，“柑橘黄龙病综合防控技术”</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方向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聚焦国家战略亟需、应用导向鲜明、最终用户明确的重大攻关需求，针对华南地区黄龙病对柑橘产业的危害，黄龙病绿色综合防控产品和集成技术严重缺乏等问题，凝练形成 “揭榜挂帅”</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榜单，现将榜单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建设内容</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及要求</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目标</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予以发布。</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（一）建设内容</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研发与示范健康无菌柑橘苗木生产和</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早期高灵敏度诊断</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监测技术，从源头控制柑橘黄龙病的传播；基于柑橘</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黄龙病</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病菌</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柑橘木虱互作分析，</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筛选抗（耐）病</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柑橘</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品种</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研发柑橘黄龙病及柑橘木虱的生态调控、理化诱杀、生物防治技术与产品；开展柑橘黄龙病与柑橘木虱应急扑杀防控药剂研发、筛选与评价；针对非疫区果园、疫区新建果园、疫区复种果园，</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结合产区及品种特色，建立分区管理与染病果园复产续产模式；集成示范柑橘黄龙病绿色防控技术体系，</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大规模开展柑橘黄龙病绿色防控技术培训、推广与应用。</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（二）需求目标</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1.基础性整体需求目标</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建立健康无菌柑橘苗木生产与监测技术体系和</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柑橘黄龙病快速精准检测技术</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体系各</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1套；</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筛选出抗（耐）</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柑橘黄龙病</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柑橘品种</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2个；</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研发柑橘木虱、黄龙病菌的生态调控、生物防治、理化诱杀等高效绿色防控技术各</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1项；</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研制出柑橘</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木虱</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生物防治产品、理化诱杀或驱避产品、高效低毒生物药剂（含中试产品）各</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3种以上；</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建立柑橘木虱、</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柑橘黄龙病</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精准施</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药</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防控体系</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2套，申请成为广东省的主推技术至少1项；</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建立绿色防控示范区</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5个。</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jc w:val="left"/>
        <w:textAlignment w:val="auto"/>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2.</w:t>
      </w:r>
      <w:r>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t>中期考核</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基础性需求</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建立健康无菌柑橘苗木生产与监测技术体系和</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柑橘黄龙病快速精准检测技术</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体系各</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1套；</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筛选出抗（耐）</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柑橘黄龙病</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柑橘品种</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2个；</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研发柑橘木虱、黄龙病菌的生态调控、生物防治、理化诱杀等高效绿色防控技术各</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1项；</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研制出柑橘</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木虱</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生物防治产品、理化诱杀或驱避产品、高效低毒生物药剂（含中试产品）各</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种；</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建立柑橘木虱、</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柑橘黄龙病</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精准施</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药</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防控体系</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套；</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建立绿色防控示范区</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jc w:val="left"/>
        <w:textAlignment w:val="auto"/>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pP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三</w:t>
      </w: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项目资金额度</w:t>
      </w:r>
      <w:r>
        <w:rPr>
          <w:rFonts w:hint="eastAsia"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和时间节点</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项目实施期暂定为3年，</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立项 18 个月后开展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2022年</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启动</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资金额度不超过300万元，项目</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牵头申报</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单位按年度申请</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项目资金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，主管单位依据项目支出进度和</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绩效完成情况，结合当年度财政资金预算安排情况，对项目资金安排实施“动态化调整”。</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jc w:val="left"/>
        <w:textAlignment w:val="auto"/>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四</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攻关和考核要求</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项目揭榜挂帅申报需完成榜单建设内容，涵盖所有基础性整体绩效和中期考核基础性绩效，并在此基础上设置揭榜整体绩效和中期考核绩效。项目申报需编制项目启动资金300万元的经费预算。</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揭榜立项后，揭榜团队须签署“军令状”，对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考核要求、经费拨付方式、奖惩措施和成果归属等进行具体约定，并将榜单任务</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绩效</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 xml:space="preserve">摆在突出位置，集中优势资源，全力开展限时攻关。项目负责人在攻关期间，原则上不得调离或辞去工作职位。 </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项目实施过程中，将最终用户意见作为重要考量，通过实地勘察、仿真评测、应用环境检测等方式开展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 xml:space="preserve">考核。 </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项目验收将通过现场验收、用户和第三方测评等方式，在真实应用场景下开展，并充分发挥最终用户作用，以成败论英雄。由于主观不努力等因素导致攻关失败的，将按照有关规定严肃追责，并依规纳入诚信记录。</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项目成果</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需由</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广州国家</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现代农业产业</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科</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技</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创</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新</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中心</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进行编码</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、登记、</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备案</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和</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发布</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t>七、</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岭南特色水果智能采收技术</w:t>
      </w:r>
    </w:p>
    <w:p>
      <w:pPr>
        <w:adjustRightInd w:val="0"/>
        <w:snapToGrid w:val="0"/>
        <w:spacing w:line="560" w:lineRule="exact"/>
        <w:ind w:firstLine="640" w:firstLineChars="200"/>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为深入学习贯彻习近平总书记关于农业科技创新的重要讲话和指示批示精神，落实省第十三次党代会工作部署，</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切实加强创新链和产业链对接，“岭南特色水果智能采收技术”</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方向</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聚焦国家战略亟需、应用导向鲜明、最终用户明确的重大攻关需求，</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针对</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南方特色水果</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智能采收过程中精度、效率不高，机械损伤大和</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设备初始投入大</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等重大瓶颈问题，</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凝练形成 “揭榜挂帅”</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榜单，现将榜单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建设内容</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及要求</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目标</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予以发布。</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t>一</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）建设内容</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针对南方特色水果（典型草本生水果如菠萝、香蕉；典型木本生水果如荔枝龙眼、柚子）生长环境复杂、非结构化或者半结构化，采收</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作业自然条件多变</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问题，研究智能采收装备的智能传感识别技术及智能处理算法；通过集成视觉、激光、毫米波等联合探测技术，实现果园采收环境、果树冠层，水果位置和适收期的准确感知和识别</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针对智能水果采收装备采收</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机</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构存在的作业效率不高、执行困难、易受干扰等问题，研究智能采收装备高效率精准作业方法，开展智能采收装备</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自主导航试验</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，探索高效低损的采收作业模式</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针对采摘执行机构智能化、标准化程度低的问题，研究智能采收装备本体及执行机构中的关键模块；制定水果智能采收装备关键执行部件样机开发的标准和规范，开展岭南特色水果智能采收装备的示范和推广应用。</w:t>
      </w:r>
    </w:p>
    <w:p>
      <w:pPr>
        <w:adjustRightInd w:val="0"/>
        <w:snapToGrid w:val="0"/>
        <w:spacing w:line="560" w:lineRule="exact"/>
        <w:ind w:firstLine="643" w:firstLineChars="200"/>
        <w:rPr>
          <w:rFonts w:hint="default"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t>二</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t>需求目标</w:t>
      </w:r>
    </w:p>
    <w:p>
      <w:pPr>
        <w:adjustRightInd w:val="0"/>
        <w:snapToGrid w:val="0"/>
        <w:spacing w:line="560" w:lineRule="exact"/>
        <w:ind w:firstLine="643" w:firstLineChars="200"/>
        <w:rPr>
          <w:rFonts w:hint="default"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t>1.基础性整体需求</w:t>
      </w:r>
    </w:p>
    <w:p>
      <w:pPr>
        <w:pStyle w:val="2"/>
        <w:adjustRightInd w:val="0"/>
        <w:snapToGrid w:val="0"/>
        <w:spacing w:line="560" w:lineRule="exact"/>
        <w:ind w:left="0" w:leftChars="0" w:firstLine="64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套采收装备（</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分别</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适用于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3类南方特色水果</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），采收装备在南方特色水果典型的复杂、非结构化的野外生长环境中</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开展</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作业</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爬坡不低于15</w:t>
      </w:r>
      <w:r>
        <w:rPr>
          <w:rFonts w:hint="eastAsia" w:ascii="微软雅黑" w:hAnsi="微软雅黑" w:eastAsia="微软雅黑" w:cs="微软雅黑"/>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；采收装备</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综合作业速度不低于人工作业速度（作业环节包括采收、收集和行走）</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；采收装备</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对冠层内的所有适收期水果平均采收率高于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7</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0%（测试区水果的种植面积不低于1亩）</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损伤率低于20%</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p>
    <w:p>
      <w:pPr>
        <w:pStyle w:val="2"/>
        <w:adjustRightInd w:val="0"/>
        <w:snapToGrid w:val="0"/>
        <w:spacing w:line="560" w:lineRule="exact"/>
        <w:ind w:left="0" w:leftChars="0" w:firstLine="640"/>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制订</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团体以上</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标准</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申请</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发明专利</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不少于10</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项，至少包括</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申请</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PCT专利</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pStyle w:val="2"/>
        <w:adjustRightInd w:val="0"/>
        <w:snapToGrid w:val="0"/>
        <w:spacing w:line="560" w:lineRule="exact"/>
        <w:ind w:left="0" w:leftChars="0" w:firstLine="64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各特色水果在主产区分别建立核心示范区</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1个</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（核心示范区共计至少</w:t>
      </w:r>
      <w:r>
        <w:rPr>
          <w:rFonts w:hint="eastAsia" w:ascii="Arial" w:hAnsi="Arial" w:eastAsia="仿宋_GB2312" w:cs="Arial"/>
          <w:color w:val="000000" w:themeColor="text1"/>
          <w:kern w:val="0"/>
          <w:sz w:val="32"/>
          <w:szCs w:val="32"/>
          <w:highlight w:val="none"/>
          <w:shd w:val="clear" w:color="auto" w:fill="FFFFFF"/>
          <w14:textFill>
            <w14:solidFill>
              <w14:schemeClr w14:val="tx1"/>
            </w14:solidFill>
          </w14:textFill>
        </w:rPr>
        <w:t>3</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面积共计</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少</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于30</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0亩</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p>
    <w:p>
      <w:pPr>
        <w:widowControl/>
        <w:adjustRightInd w:val="0"/>
        <w:snapToGrid w:val="0"/>
        <w:spacing w:line="560" w:lineRule="exact"/>
        <w:ind w:firstLine="643" w:firstLineChars="200"/>
        <w:jc w:val="left"/>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t>2.中期考核基础性需求</w:t>
      </w:r>
    </w:p>
    <w:p>
      <w:pPr>
        <w:pStyle w:val="2"/>
        <w:adjustRightInd w:val="0"/>
        <w:snapToGrid w:val="0"/>
        <w:spacing w:line="560" w:lineRule="exact"/>
        <w:ind w:left="0" w:leftChars="0" w:firstLine="64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套采收装备（</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分别</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适用于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2类南方特色水果</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），采收装备在南方特色水果典型的复杂、非结构化的野外生长环境中</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开展</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作业</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爬坡不低于15</w:t>
      </w:r>
      <w:r>
        <w:rPr>
          <w:rFonts w:hint="eastAsia" w:ascii="微软雅黑" w:hAnsi="微软雅黑" w:eastAsia="微软雅黑" w:cs="微软雅黑"/>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；采收装备</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综合作业速度不低于人工作业速度（作业环节包括采收、收集和行走）</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；采收装备</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对冠层内的所有适收期水果平均采收率应高于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7</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0%（测试区水果的种植面积不低于1亩）</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损伤率</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不高</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于20%</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p>
    <w:p>
      <w:pPr>
        <w:adjustRightInd w:val="0"/>
        <w:snapToGrid w:val="0"/>
        <w:spacing w:line="560" w:lineRule="exact"/>
        <w:ind w:firstLine="640" w:firstLineChars="200"/>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申请</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发明专利</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不少于5</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项，至少包括</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申请</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PCT专利</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pStyle w:val="2"/>
        <w:ind w:left="0" w:leftChars="0" w:firstLine="640"/>
        <w:rPr>
          <w:rFonts w:hint="default" w:eastAsia="仿宋_GB2312"/>
          <w:color w:val="000000" w:themeColor="text1"/>
          <w:highlight w:val="none"/>
          <w:lang w:val="en-US" w:eastAsia="zh-CN"/>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各特色水果在主产区</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基本</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成</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核心示范区</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共计不少于2个。</w:t>
      </w:r>
    </w:p>
    <w:p>
      <w:pPr>
        <w:widowControl/>
        <w:adjustRightInd w:val="0"/>
        <w:snapToGrid w:val="0"/>
        <w:spacing w:line="560" w:lineRule="exact"/>
        <w:ind w:firstLine="643" w:firstLineChars="200"/>
        <w:jc w:val="left"/>
        <w:rPr>
          <w:rFonts w:hint="default" w:ascii="Times New Roman" w:hAnsi="Times New Roman" w:eastAsia="仿宋_GB2312" w:cs="Times New Roman"/>
          <w:b/>
          <w:bCs/>
          <w:color w:val="000000" w:themeColor="text1"/>
          <w:kern w:val="0"/>
          <w:sz w:val="32"/>
          <w:szCs w:val="32"/>
          <w:highlight w:val="none"/>
          <w:shd w:val="clear" w:color="auto" w:fill="FFFFFF"/>
          <w:lang w:val="en-US" w:eastAsia="zh-CN" w:bidi="ar"/>
          <w14:textFill>
            <w14:solidFill>
              <w14:schemeClr w14:val="tx1"/>
            </w14:solidFill>
          </w14:textFill>
        </w:rPr>
      </w:pP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t>三</w:t>
      </w: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项目资金额度</w:t>
      </w: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bidi="ar"/>
          <w14:textFill>
            <w14:solidFill>
              <w14:schemeClr w14:val="tx1"/>
            </w14:solidFill>
          </w14:textFill>
        </w:rPr>
        <w:t>和时间节点</w:t>
      </w:r>
    </w:p>
    <w:p>
      <w:pPr>
        <w:widowControl/>
        <w:adjustRightInd w:val="0"/>
        <w:snapToGrid w:val="0"/>
        <w:spacing w:line="560" w:lineRule="exact"/>
        <w:ind w:firstLine="640"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项目实施期暂定为3年，</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立项 18 个月后开展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2022年</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启动</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资金额度不超过300万元，项目</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牵头申报</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单位按年度申请</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项目资金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，主管单位依据项目支出进度和</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绩效完成情况，结合当年度财政资金预算安排情况，对项目资金安排实施“动态化调整”。</w:t>
      </w:r>
    </w:p>
    <w:p>
      <w:pPr>
        <w:widowControl/>
        <w:adjustRightInd w:val="0"/>
        <w:snapToGrid w:val="0"/>
        <w:spacing w:line="560" w:lineRule="exact"/>
        <w:ind w:firstLine="643"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bidi="ar"/>
          <w14:textFill>
            <w14:solidFill>
              <w14:schemeClr w14:val="tx1"/>
            </w14:solidFill>
          </w14:textFill>
        </w:rPr>
        <w:t>四</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攻关和考核要求</w:t>
      </w:r>
    </w:p>
    <w:p>
      <w:pPr>
        <w:keepNext w:val="0"/>
        <w:keepLines w:val="0"/>
        <w:widowControl/>
        <w:suppressLineNumbers w:val="0"/>
        <w:adjustRightInd w:val="0"/>
        <w:snapToGrid w:val="0"/>
        <w:spacing w:line="560" w:lineRule="exact"/>
        <w:ind w:firstLine="640" w:firstLineChars="200"/>
        <w:jc w:val="both"/>
        <w:rPr>
          <w:rFonts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项目揭榜挂帅申报需完成榜单建设内容，涵盖所有基础性整体绩效和中期考核基础性绩效，并在此基础上设置揭榜整体绩效和中期考核绩效。项目申报需编制项目启动资金300万元的经费预算。</w:t>
      </w:r>
    </w:p>
    <w:p>
      <w:pPr>
        <w:keepNext w:val="0"/>
        <w:keepLines w:val="0"/>
        <w:widowControl/>
        <w:suppressLineNumbers w:val="0"/>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揭榜立项后，揭榜团队须签署“军令状”，对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考核</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要求、经费拨付方式、奖惩措施和成果归属等进行具体约定，并将榜单任务</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绩效</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 xml:space="preserve">摆在突出位置，集中优势资源，全力开展限时攻关。项目负责人在攻关期间，原则上不得调离或辞去工作职位。 </w:t>
      </w:r>
    </w:p>
    <w:p>
      <w:pPr>
        <w:keepNext w:val="0"/>
        <w:keepLines w:val="0"/>
        <w:widowControl/>
        <w:suppressLineNumbers w:val="0"/>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项目实施过程中，将最终用户意见作为重要考量，通过实地勘察、仿真评测、应用环境检测等方式开展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 xml:space="preserve">考核。 </w:t>
      </w:r>
    </w:p>
    <w:p>
      <w:pPr>
        <w:keepNext w:val="0"/>
        <w:keepLines w:val="0"/>
        <w:widowControl/>
        <w:suppressLineNumbers w:val="0"/>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验收将通过现场验收、用户和第三方测评等方式，在真实应用场景下开展，并充分发挥最终用户作用，以成败论英雄。由于主观不努力等因素导致攻关失败的，将按照有关规定严肃追责，并依规纳入诚信记录。</w:t>
      </w:r>
    </w:p>
    <w:p>
      <w:pPr>
        <w:adjustRightInd w:val="0"/>
        <w:snapToGrid w:val="0"/>
        <w:spacing w:line="560" w:lineRule="exact"/>
        <w:ind w:firstLine="640" w:firstLineChars="200"/>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default"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项目成果</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需由</w:t>
      </w:r>
      <w:r>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广州国家</w:t>
      </w:r>
      <w:r>
        <w:rPr>
          <w:rFonts w:hint="eastAsia" w:ascii="Times New Roman" w:hAnsi="Times New Roman" w:eastAsia="仿宋_GB2312" w:cs="Times New Roman"/>
          <w:color w:val="000000" w:themeColor="text1"/>
          <w:sz w:val="32"/>
          <w:szCs w:val="32"/>
          <w:highlight w:val="none"/>
          <w:shd w:val="clear" w:color="auto" w:fill="FFFFFF"/>
          <w:lang w:val="en-US" w:eastAsia="zh-CN"/>
          <w14:textFill>
            <w14:solidFill>
              <w14:schemeClr w14:val="tx1"/>
            </w14:solidFill>
          </w14:textFill>
        </w:rPr>
        <w:t>现代农业产业</w:t>
      </w:r>
      <w:r>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科</w:t>
      </w:r>
      <w:r>
        <w:rPr>
          <w:rFonts w:hint="eastAsia" w:ascii="Times New Roman" w:hAnsi="Times New Roman" w:eastAsia="仿宋_GB2312" w:cs="Times New Roman"/>
          <w:color w:val="000000" w:themeColor="text1"/>
          <w:sz w:val="32"/>
          <w:szCs w:val="32"/>
          <w:highlight w:val="none"/>
          <w:shd w:val="clear" w:color="auto" w:fill="FFFFFF"/>
          <w:lang w:val="en-US" w:eastAsia="zh-CN"/>
          <w14:textFill>
            <w14:solidFill>
              <w14:schemeClr w14:val="tx1"/>
            </w14:solidFill>
          </w14:textFill>
        </w:rPr>
        <w:t>技</w:t>
      </w:r>
      <w:r>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创</w:t>
      </w:r>
      <w:r>
        <w:rPr>
          <w:rFonts w:hint="eastAsia" w:ascii="Times New Roman" w:hAnsi="Times New Roman" w:eastAsia="仿宋_GB2312" w:cs="Times New Roman"/>
          <w:color w:val="000000" w:themeColor="text1"/>
          <w:sz w:val="32"/>
          <w:szCs w:val="32"/>
          <w:highlight w:val="none"/>
          <w:shd w:val="clear" w:color="auto" w:fill="FFFFFF"/>
          <w:lang w:val="en-US" w:eastAsia="zh-CN"/>
          <w14:textFill>
            <w14:solidFill>
              <w14:schemeClr w14:val="tx1"/>
            </w14:solidFill>
          </w14:textFill>
        </w:rPr>
        <w:t>新</w:t>
      </w:r>
      <w:r>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中心</w:t>
      </w:r>
      <w:r>
        <w:rPr>
          <w:rFonts w:hint="default"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进行编码</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登记、</w:t>
      </w:r>
      <w:r>
        <w:rPr>
          <w:rFonts w:hint="default"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备案</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和</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发布</w:t>
      </w:r>
      <w:r>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t>八、</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岭南特色水果功能性研究与加工技术集成</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为深入学习贯彻习近平总书记关于农业科技创新的重要讲话和指示批示精神，落实省第十三次党代会工作部署，</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切实加强创新链和产业链对接，“岭南特色水果功能性研究与加工技术集成”</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方向</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聚焦国家战略亟需、应用导向鲜明、最终用户明确的重大攻关需求，针对岭南佳果采后损失重、加工转化率低、核心加工技术和装备缺乏等问题，凝练形成“揭榜挂帅”</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榜单，现将榜单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建设内容</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及要求</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目标</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予以发布。</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t>一</w:t>
      </w: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）建设内容</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解析荔枝、菠萝、芒果、柑橘、黄皮、油柑、青梅等岭南大宗和特色水果中主要生物活性物质的组成及其营养健康效应，明确其加工过程中营养功能组分变化规律及调控机制</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突破菠萝、芒果等岭南特色水果的去皮、脱核、规格切制和冷链贮藏保鲜关键技术和装备，建立其规模化、商品化的鲜切加工配送技术体系</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0" w:firstLineChars="0"/>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研制连续型预处理技术与装备，解决出汁率低、粘度高等加工难题，并实现果汁质量的全面提升和功能活性组分的低温高效提取</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开展适合茶饮、烘培和乳品等行业用的果品高端基料的原料加工适应性和高效预处理技术研究，突破低温制汁/浆、冷冻浓缩和超高压非热杀菌、真空超快速冷却与物理场新兴节能速冻等关键技术瓶颈</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开展高品质果粉的特质性评价技术及分等分级标准体系研究，集成微波真空干燥、冷冻干燥以及动态气调包装等新型低温全果制粉加工技术，开发岭南特色水果果粉。</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开展</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适宜岭南特色水果原料发酵专用的高活性、高稳定性、具有功能成分定向生物转化的菌种资源</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研究</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，开发具有改善胃肠道等营养健康效应的发酵果汁或醋饮料等发酵新产品。</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t>二</w:t>
      </w:r>
      <w:r>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t>需求目标</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14:textFill>
            <w14:solidFill>
              <w14:schemeClr w14:val="tx1"/>
            </w14:solidFill>
          </w14:textFill>
        </w:rPr>
        <w:t>1.基础性整体需求</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明确荔枝、芒果等</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不少于5</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种岭南特色水果加工过程中营养功能组分</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每种水果各至少1个</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变化规律及调控机制</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上述</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水果产品的</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10种多酚、多糖或特征性风味成分等的表征方法和技术体系</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研制多物理场岭南水果预处理系统</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不少于1套；</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 种</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上述水果</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鲜切加工配送技术体系</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新建示范生产线</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2条</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开发出适用于新茶饮、烘培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和</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乳品等</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行业用</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高品质水果食品配料新产品</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20 个</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建立不少于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3种</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上述水果</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新型低温全果制粉加工</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新工艺及其示范生产线不少于2条；</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构建适宜岭南特色水果发酵加工的微生物资源库</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开发可产业化的直投型发酵菌剂</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3种，形成</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5种</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上述</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岭南特色水果发酵产品</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申请专利</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不少于5</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件，制定产品标准与技术规范</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不少于5</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jc w:val="left"/>
        <w:textAlignment w:val="auto"/>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t>2.中期考核基础性需求</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明确</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不少于2</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种岭南特色水果加工过程中营养功能组分</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每种水果各至少1个</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变化规律及调控机制</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上述</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水果产品的</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不少于5</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种多酚、多糖或特征性风味成分等的表征方法和技术体系</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研制多物理场岭南水果预处理系统</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不少于1套；</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不少于2</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种</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以上上述水果</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鲜切加工配送技术体系</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新建示范生产线</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不少于1</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条</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开发出适用于新茶饮、烘培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和</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乳品等</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行业用</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高品质水果食品配料新产品</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不少于1</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0个</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建立不少于1</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种</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上述水果</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新型低温全果制粉加工</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新工艺及其示范生产线不少于1条；</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构建适宜岭南特色水果发酵加工的微生物资源库</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开发可产业化的直投型发酵菌剂</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不少于1</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种，形成</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不少于2</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种</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上述</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岭南特色水果发酵产品</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申请专利</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不少于3</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件，制定产品标准与技术规范</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不少于3</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jc w:val="left"/>
        <w:textAlignment w:val="auto"/>
        <w:rPr>
          <w:rFonts w:hint="default" w:ascii="Times New Roman" w:hAnsi="Times New Roman" w:eastAsia="仿宋_GB2312" w:cs="Times New Roman"/>
          <w:b/>
          <w:bCs/>
          <w:color w:val="000000" w:themeColor="text1"/>
          <w:kern w:val="0"/>
          <w:sz w:val="32"/>
          <w:szCs w:val="32"/>
          <w:highlight w:val="none"/>
          <w:shd w:val="clear" w:color="auto" w:fill="FFFFFF"/>
          <w:lang w:val="en-US" w:eastAsia="zh-CN" w:bidi="ar"/>
          <w14:textFill>
            <w14:solidFill>
              <w14:schemeClr w14:val="tx1"/>
            </w14:solidFill>
          </w14:textFill>
        </w:rPr>
      </w:pP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t>三</w:t>
      </w: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项目资金额度</w:t>
      </w: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bidi="ar"/>
          <w14:textFill>
            <w14:solidFill>
              <w14:schemeClr w14:val="tx1"/>
            </w14:solidFill>
          </w14:textFill>
        </w:rPr>
        <w:t>和时间节点</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项目实施期暂定为3年，</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立项 18 个月后开展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2022年</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启动</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资金额度不超过300万元，项目</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牵头申报</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单位按年度申请</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项目资金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，主管单位依据项目支出进度和</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绩效完成情况，结合当年度财政资金预算安排情况，对项目资金安排实施“动态化调整”。</w:t>
      </w:r>
    </w:p>
    <w:p>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jc w:val="left"/>
        <w:textAlignment w:val="auto"/>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val="en-US" w:eastAsia="zh-CN" w:bidi="ar"/>
          <w14:textFill>
            <w14:solidFill>
              <w14:schemeClr w14:val="tx1"/>
            </w14:solidFill>
          </w14:textFill>
        </w:rPr>
        <w:t>四</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攻关和考核要求</w:t>
      </w:r>
    </w:p>
    <w:p>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both"/>
        <w:textAlignment w:val="auto"/>
        <w:rPr>
          <w:rFonts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项目揭榜挂帅申报需完成榜单建设内容，涵盖所有基础性整体绩效和中期考核基础性绩效，并在此基础上设置揭榜整体绩效和中期考核绩效。项目申报需编制项目启动资金300万元的经费预算。</w:t>
      </w:r>
    </w:p>
    <w:p>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left"/>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揭榜立项后，揭榜团队须签署“军令状”，对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考核</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要求、经费拨付方式、奖惩措施和成果归属等进行具体约定，并将榜单任务</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绩效</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 xml:space="preserve">摆在突出位置，集中优势资源，全力开展限时攻关。项目负责人在攻关期间，原则上不得调离或辞去工作职位。 </w:t>
      </w:r>
    </w:p>
    <w:p>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left"/>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项目实施过程中，将最终用户意见作为重要考量，通过实地勘察、仿真评测、应用环境检测等方式开展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中期考核</w:t>
      </w:r>
      <w:r>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 xml:space="preserve">考核。 </w:t>
      </w:r>
    </w:p>
    <w:p>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left"/>
        <w:textAlignment w:val="auto"/>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验收将通过现场验收、用户和第三方测评等方式，在真实应用场景下开展，并充分发挥最终用户作用，以成败论英雄。由于主观不努力等因素导致攻关失败的，将按照有关规定严肃追责，并依规纳入诚信记录。</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cs="Times New Roman"/>
          <w:color w:val="000000" w:themeColor="text1"/>
          <w:highlight w:val="none"/>
          <w14:textFill>
            <w14:solidFill>
              <w14:schemeClr w14:val="tx1"/>
            </w14:solidFill>
          </w14:textFill>
        </w:rPr>
      </w:pPr>
      <w:r>
        <w:rPr>
          <w:rFonts w:hint="default"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项目成果</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需由</w:t>
      </w:r>
      <w:r>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广州国家</w:t>
      </w:r>
      <w:r>
        <w:rPr>
          <w:rFonts w:hint="eastAsia" w:ascii="Times New Roman" w:hAnsi="Times New Roman" w:eastAsia="仿宋_GB2312" w:cs="Times New Roman"/>
          <w:color w:val="000000" w:themeColor="text1"/>
          <w:sz w:val="32"/>
          <w:szCs w:val="32"/>
          <w:highlight w:val="none"/>
          <w:shd w:val="clear" w:color="auto" w:fill="FFFFFF"/>
          <w:lang w:val="en-US" w:eastAsia="zh-CN"/>
          <w14:textFill>
            <w14:solidFill>
              <w14:schemeClr w14:val="tx1"/>
            </w14:solidFill>
          </w14:textFill>
        </w:rPr>
        <w:t>现代农业产业</w:t>
      </w:r>
      <w:r>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科</w:t>
      </w:r>
      <w:r>
        <w:rPr>
          <w:rFonts w:hint="eastAsia" w:ascii="Times New Roman" w:hAnsi="Times New Roman" w:eastAsia="仿宋_GB2312" w:cs="Times New Roman"/>
          <w:color w:val="000000" w:themeColor="text1"/>
          <w:sz w:val="32"/>
          <w:szCs w:val="32"/>
          <w:highlight w:val="none"/>
          <w:shd w:val="clear" w:color="auto" w:fill="FFFFFF"/>
          <w:lang w:val="en-US" w:eastAsia="zh-CN"/>
          <w14:textFill>
            <w14:solidFill>
              <w14:schemeClr w14:val="tx1"/>
            </w14:solidFill>
          </w14:textFill>
        </w:rPr>
        <w:t>技</w:t>
      </w:r>
      <w:r>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创</w:t>
      </w:r>
      <w:r>
        <w:rPr>
          <w:rFonts w:hint="eastAsia" w:ascii="Times New Roman" w:hAnsi="Times New Roman" w:eastAsia="仿宋_GB2312" w:cs="Times New Roman"/>
          <w:color w:val="000000" w:themeColor="text1"/>
          <w:sz w:val="32"/>
          <w:szCs w:val="32"/>
          <w:highlight w:val="none"/>
          <w:shd w:val="clear" w:color="auto" w:fill="FFFFFF"/>
          <w:lang w:val="en-US" w:eastAsia="zh-CN"/>
          <w14:textFill>
            <w14:solidFill>
              <w14:schemeClr w14:val="tx1"/>
            </w14:solidFill>
          </w14:textFill>
        </w:rPr>
        <w:t>新</w:t>
      </w:r>
      <w:r>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中心</w:t>
      </w:r>
      <w:r>
        <w:rPr>
          <w:rFonts w:hint="default"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进行编码</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登记、</w:t>
      </w:r>
      <w:r>
        <w:rPr>
          <w:rFonts w:hint="default"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备案</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和</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发布</w:t>
      </w:r>
      <w:r>
        <w:rPr>
          <w:rFonts w:hint="default"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420" w:firstLineChars="200"/>
        <w:textAlignment w:val="auto"/>
        <w:rPr>
          <w:color w:val="000000" w:themeColor="text1"/>
          <w:highlight w:val="none"/>
          <w14:textFill>
            <w14:solidFill>
              <w14:schemeClr w14:val="tx1"/>
            </w14:solidFill>
          </w14:textFill>
        </w:rPr>
      </w:pPr>
    </w:p>
    <w:p>
      <w:pPr>
        <w:pStyle w:val="2"/>
        <w:adjustRightInd w:val="0"/>
        <w:snapToGrid w:val="0"/>
        <w:spacing w:line="560" w:lineRule="exact"/>
        <w:rPr>
          <w:rFonts w:hint="eastAsia"/>
          <w:color w:val="000000" w:themeColor="text1"/>
          <w:highlight w:val="none"/>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九、南药道地性高品质生产与功能开发技术</w:t>
      </w:r>
    </w:p>
    <w:p>
      <w:pPr>
        <w:adjustRightInd w:val="0"/>
        <w:snapToGrid w:val="0"/>
        <w:spacing w:line="560" w:lineRule="exact"/>
        <w:ind w:firstLine="640"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为深入学习贯彻习近平总书记关于农业科技创新的重要讲话和指示批示精神，落实省第十三次党代会工作部署，</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切实加强创新链和产业链对接，“南药道地性高品质生产与功能开发技术”</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方向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聚焦国家战略亟需、应用导向鲜明、最终用户明确的重大攻关需求，针对南药道地性形成机理不明确、种植技术粗放、质量不稳定、产业链综合价值低、高附加值产品少等问题</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凝练形成 “揭榜挂帅”</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榜单，现将榜单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建设内容</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及要求</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目标</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予以发布。</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（一）建设内容</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究南药道地性和高品质形成的机制，探索基于多维度的道地性南药质量评价体系；收集和鉴评南药种质资源，选育适宜道地产区种植的优良品种或品系并推广；研究南药道地区域土壤、气候、微生物等生态环境独特性及道地南药基因与环境的互作关系；挖掘道地产区传统的栽培、采收、加工的技术，按照中药材GAP规范和绿色生态生产模式提升道地南药栽培加工技术，创建绿色高效优质生产模式；研究南药产地初加工关键技术与标准；</w:t>
      </w:r>
    </w:p>
    <w:p>
      <w:pPr>
        <w:adjustRightInd w:val="0"/>
        <w:snapToGrid w:val="0"/>
        <w:spacing w:line="560" w:lineRule="exact"/>
        <w:ind w:firstLine="0" w:firstLineChars="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开展南药精深加工和综合利用研究。</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（二）需求目标</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1.基础性整体需求</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构建岭南道地药材全基因组、转录组和代谢组数据库</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至少</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3个品种；</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挖掘岭南道地性药材重要生物活性成分相关的基因</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20个；</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建成重要药材优良种质资源苗圃</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3个，选育岭南道地药材优良品种或品系</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3个；</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研发重要药材绿色高效种植模式</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3套，并建设绿色生态种植基地各</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1个；</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建立3种以上岭南道地药材高品质种植加工技术及等级标准</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不少于5</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申请国家发明专利或实用新型专利</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10件，</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其中</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授权</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5件；</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开发</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3种岭南道地药材为主要原料的大健康产品</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5</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种以上并取得相关生产许可资质。</w:t>
      </w:r>
    </w:p>
    <w:p>
      <w:pPr>
        <w:widowControl/>
        <w:adjustRightInd w:val="0"/>
        <w:snapToGrid w:val="0"/>
        <w:spacing w:line="560" w:lineRule="exact"/>
        <w:ind w:firstLine="643"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2.</w:t>
      </w:r>
      <w:r>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t>中期考核</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基础性需求</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构建岭南道地药材全基因组、转录组和代谢组数据库至少3个品种；</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挖掘岭南道地性药材重要生物活性成分相关的基因</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15个；</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建成重要药材优良种质资源苗圃</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2个，选育岭南道地药材优良品种或品系</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2个；</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研发重要药材绿色高效种植模式</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1套，并建设绿色生态种植基地</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3个；</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建立3种以上岭南道地药材高品质种植加工技术及等级标准</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5项；</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申请国家发明专利或实用新型专利</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不少于5</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件，</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其中</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授权</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3件；</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开发3种以上岭南道地药材为主要原料的大健康产品</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3种并取得相关生产许可资质。</w:t>
      </w:r>
    </w:p>
    <w:p>
      <w:pPr>
        <w:widowControl/>
        <w:adjustRightInd w:val="0"/>
        <w:snapToGrid w:val="0"/>
        <w:spacing w:line="560" w:lineRule="exact"/>
        <w:ind w:firstLine="643" w:firstLineChars="200"/>
        <w:jc w:val="left"/>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pP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三</w:t>
      </w: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项目资金额度</w:t>
      </w:r>
      <w:r>
        <w:rPr>
          <w:rFonts w:hint="eastAsia"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和时间节点</w:t>
      </w:r>
    </w:p>
    <w:p>
      <w:pPr>
        <w:widowControl/>
        <w:adjustRightInd w:val="0"/>
        <w:snapToGrid w:val="0"/>
        <w:spacing w:line="560" w:lineRule="exact"/>
        <w:ind w:firstLine="640"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项目实施期暂定为3年，</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立项 18 个月后开展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2022年</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启动</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资金额度不超过300万元，项目</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牵头申报</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单位按年度申请</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项目资金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，主管单位依据项目支出进度和</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绩效完成情况，结合当年度财政资金预算安排情况，对项目资金安排实施“动态化调整”。</w:t>
      </w:r>
    </w:p>
    <w:p>
      <w:pPr>
        <w:widowControl/>
        <w:adjustRightInd w:val="0"/>
        <w:snapToGrid w:val="0"/>
        <w:spacing w:line="560" w:lineRule="exact"/>
        <w:ind w:firstLine="643"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四</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攻关和考核要求</w:t>
      </w:r>
    </w:p>
    <w:p>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both"/>
        <w:textAlignment w:val="auto"/>
        <w:rPr>
          <w:rFonts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项目揭榜挂帅申报需完成榜单建设内容，涵盖所有基础性整体绩效和中期考核基础性绩效，并在此基础上设置揭榜整体绩效和中期考核绩效。项目申报需编制项目启动资金300万元的经费预算。</w:t>
      </w:r>
    </w:p>
    <w:p>
      <w:pPr>
        <w:widowControl/>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揭榜立项后，揭榜团队须签署“军令状”，对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考核要求、经费拨付方式、奖惩措施和成果归属等进行具体约定，并将榜单任务</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绩效</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 xml:space="preserve">摆在突出位置，集中优势资源，全力开展限时攻关。项目负责人在攻关期间，原则上不得调离或辞去工作职位。 </w:t>
      </w:r>
    </w:p>
    <w:p>
      <w:pPr>
        <w:widowControl/>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项目实施过程中，将最终用户意见作为重要考量，通过实地勘察、仿真评测、应用环境检测等方式开展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 xml:space="preserve">考核。 </w:t>
      </w:r>
    </w:p>
    <w:p>
      <w:pPr>
        <w:widowControl/>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项目验收将通过现场验收、用户和第三方测评等方式，在真实应用场景下开展，并充分发挥最终用户作用，以成败论英雄。由于主观不努力等因素导致攻关失败的，将按照有关规定严肃追责，并依规纳入诚信记录。</w:t>
      </w:r>
    </w:p>
    <w:p>
      <w:pPr>
        <w:adjustRightInd w:val="0"/>
        <w:snapToGrid w:val="0"/>
        <w:spacing w:line="560" w:lineRule="exact"/>
        <w:ind w:firstLine="640" w:firstLineChars="200"/>
        <w:rPr>
          <w:color w:val="000000" w:themeColor="text1"/>
          <w:highlight w:val="none"/>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项目成果</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需由</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广州国家</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现代农业产业</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科</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技</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创</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新</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中心</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进行编码</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、登记、</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备案</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和</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发布</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w:t>
      </w:r>
    </w:p>
    <w:p>
      <w:pPr>
        <w:adjustRightInd w:val="0"/>
        <w:snapToGrid w:val="0"/>
        <w:spacing w:line="560" w:lineRule="exact"/>
        <w:rPr>
          <w:rFonts w:hint="eastAsia"/>
          <w:color w:val="000000" w:themeColor="text1"/>
          <w:highlight w:val="none"/>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十、重大动物疫病新型综合防控技术</w:t>
      </w:r>
    </w:p>
    <w:p>
      <w:pPr>
        <w:adjustRightInd w:val="0"/>
        <w:snapToGrid w:val="0"/>
        <w:spacing w:line="560" w:lineRule="exact"/>
        <w:ind w:firstLine="640"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为深入学习贯彻习近平总书记关于农业科技创新的重要讲话和指示批示精神，落实省第十三次党代会工作部署，</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切实加强创新链和产业链对接，“重大动物疫病新型综合防控技术”</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方向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聚焦国家战略亟需、应用导向鲜明、最终用户明确的重大攻关需求，针对动物疫病频繁爆发，进口疫苗在疫苗种毒和生产工艺相关技术上对我国</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“卡脖子”</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问题</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凝练形成“揭榜挂帅”</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榜单，现将榜单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建设内容</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及要求</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目标</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予以发布。</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（一）建设内容</w:t>
      </w:r>
    </w:p>
    <w:p>
      <w:pPr>
        <w:adjustRightInd w:val="0"/>
        <w:snapToGrid w:val="0"/>
        <w:spacing w:line="560" w:lineRule="exact"/>
        <w:ind w:firstLine="0" w:firstLineChars="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开展广东省畜禽养殖场重要动物病毒、致病菌和寄生虫分离鉴定、变异分析、种系发育、抗原性和耐药性监测，建立新发病原甄别和重要畜禽疫病风险监测、评估、预警体系，突破疫情“早发现、早诊断”的难题，有效实现防控关口前移；发掘并鉴定广东省流行的重要畜禽病毒、病原菌、寄生虫的诊断标识，建立敏感性高、特异性好的病原检测和抗体监测技术/试剂盒，补强现有疫病诊断方法的短板；鉴定新型候选疫苗抗原，创制新型高效疫苗、佐剂等生物制品；研发新的疫苗抗原生产工艺、纯化工艺、浓缩工艺、内毒素脱除工艺等，显著提升疫苗质量，降低副作用；开展畜禽重要疫病的绿色高效防控技术集成应用研究，有效提升重要动物疫病净化与综合防控能力，并在广东畜禽核心育种场和规模化生产场示范应用，重点覆盖粤东、西、北等地区。</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（二）需求目标</w:t>
      </w:r>
    </w:p>
    <w:p>
      <w:pPr>
        <w:adjustRightInd w:val="0"/>
        <w:snapToGrid w:val="0"/>
        <w:spacing w:line="560" w:lineRule="exact"/>
        <w:ind w:firstLine="643" w:firstLineChars="200"/>
        <w:rPr>
          <w:rFonts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kern w:val="0"/>
          <w:sz w:val="32"/>
          <w:szCs w:val="32"/>
          <w:highlight w:val="none"/>
          <w:shd w:val="clear" w:color="auto" w:fill="FFFFFF"/>
          <w14:textFill>
            <w14:solidFill>
              <w14:schemeClr w14:val="tx1"/>
            </w14:solidFill>
          </w14:textFill>
        </w:rPr>
        <w:t>1.基础性整体需求</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建立广东省重要畜禽疫病远程监测、诊断与风险评估预警体系</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1套；</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针对广东省流行的重要畜禽疫病，研发新的诊断和监测技术/试剂盒</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5项；</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创制新型高效疫苗、佐剂等生物制品</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5种；</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建立适合广东省畜禽养殖场使用的重要动物疫病净化与综合防控集成技术体系</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3套，在粤东、西、北等地区的畜禽核心育种场和规模化生产场建设示范基地</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5个。</w:t>
      </w:r>
    </w:p>
    <w:p>
      <w:pPr>
        <w:widowControl/>
        <w:adjustRightInd w:val="0"/>
        <w:snapToGrid w:val="0"/>
        <w:spacing w:line="560" w:lineRule="exact"/>
        <w:ind w:firstLine="643"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2.</w:t>
      </w:r>
      <w:r>
        <w:rPr>
          <w:rFonts w:hint="eastAsia"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t>中期考核</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基础性需求</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初步建立广东省重要畜禽疫病远程监测、诊断与风险评估预警体系</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1套；</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针对广东省流行的重要畜禽疫病，研发新的诊断和监测技术/试剂盒</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创制新型高效疫苗、佐剂等生物制品</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3</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种；</w:t>
      </w:r>
    </w:p>
    <w:p>
      <w:pPr>
        <w:adjustRightInd w:val="0"/>
        <w:snapToGrid w:val="0"/>
        <w:spacing w:line="560" w:lineRule="exact"/>
        <w:ind w:firstLine="640" w:firstLineChars="200"/>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建立适合广东省畜禽养殖场使用的重要动物疫病净化与综合防控集成技术体系</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1</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套，在粤东、西、北等地区的畜禽核心育种场和规模化生产场建设示范基地</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不少于</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个。</w:t>
      </w:r>
    </w:p>
    <w:p>
      <w:pPr>
        <w:widowControl/>
        <w:adjustRightInd w:val="0"/>
        <w:snapToGrid w:val="0"/>
        <w:spacing w:line="560" w:lineRule="exact"/>
        <w:ind w:firstLine="643" w:firstLineChars="200"/>
        <w:jc w:val="left"/>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pP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三</w:t>
      </w:r>
      <w:r>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项目资金额度</w:t>
      </w:r>
      <w:r>
        <w:rPr>
          <w:rFonts w:hint="eastAsia"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和时间节点</w:t>
      </w:r>
    </w:p>
    <w:p>
      <w:pPr>
        <w:widowControl/>
        <w:adjustRightInd w:val="0"/>
        <w:snapToGrid w:val="0"/>
        <w:spacing w:line="560" w:lineRule="exact"/>
        <w:ind w:firstLine="640"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项目实施期暂定为3年，</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立项 18 个月后开展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2022年</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启动</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资金额度不超过300万元，项目</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牵头申报</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单位按年度申请</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项目资金</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，主管单位依据项目支出进度和</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14:textFill>
            <w14:solidFill>
              <w14:schemeClr w14:val="tx1"/>
            </w14:solidFill>
          </w14:textFill>
        </w:rPr>
        <w:t>中期考核</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绩效完成情况，结合当年度财政资金预算安排情况，对项目资金安排实施“动态化调整”。</w:t>
      </w:r>
    </w:p>
    <w:p>
      <w:pPr>
        <w:widowControl/>
        <w:adjustRightInd w:val="0"/>
        <w:snapToGrid w:val="0"/>
        <w:spacing w:line="560" w:lineRule="exact"/>
        <w:ind w:firstLine="643" w:firstLineChars="200"/>
        <w:jc w:val="left"/>
        <w:rPr>
          <w:rFonts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pP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四</w:t>
      </w:r>
      <w:r>
        <w:rPr>
          <w:rFonts w:ascii="Times New Roman" w:hAnsi="Times New Roman" w:eastAsia="仿宋_GB2312" w:cs="Times New Roman"/>
          <w:b/>
          <w:bCs/>
          <w:color w:val="000000" w:themeColor="text1"/>
          <w:kern w:val="0"/>
          <w:sz w:val="32"/>
          <w:szCs w:val="32"/>
          <w:highlight w:val="none"/>
          <w:shd w:val="clear" w:color="auto" w:fill="FFFFFF"/>
          <w:lang w:bidi="ar"/>
          <w14:textFill>
            <w14:solidFill>
              <w14:schemeClr w14:val="tx1"/>
            </w14:solidFill>
          </w14:textFill>
        </w:rPr>
        <w:t>）</w:t>
      </w:r>
      <w:r>
        <w:rPr>
          <w:rFonts w:hint="eastAsia"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攻关和考核要求</w:t>
      </w:r>
    </w:p>
    <w:p>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both"/>
        <w:textAlignment w:val="auto"/>
        <w:rPr>
          <w:rFonts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pP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项目揭榜挂帅申报需完成榜单建设内容，涵盖所有基础性整体绩效和中期考核基础性绩效，并在此基础上设置揭榜整体绩效和中期考核绩效。项目申报需编制项目启动资金300万元的经费预算。</w:t>
      </w:r>
    </w:p>
    <w:p>
      <w:pPr>
        <w:widowControl/>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揭榜立项后，揭榜团队须签署“军令状”，对</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考核要求、经费拨付方式、奖惩措施和成果归属等进行具体约定，并将榜单任务</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绩效</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 xml:space="preserve">摆在突出位置，集中优势资源，全力开展限时攻关。项目负责人在攻关期间，原则上不得调离或辞去工作职位。 </w:t>
      </w:r>
    </w:p>
    <w:p>
      <w:pPr>
        <w:widowControl/>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项目实施过程中，将最终用户意见作为重要考量，通过实地勘察、仿真评测、应用环境检测等方式开展</w:t>
      </w:r>
      <w:r>
        <w:rPr>
          <w:rFonts w:hint="eastAsia" w:ascii="Times New Roman" w:hAnsi="Times New Roman" w:eastAsia="仿宋_GB2312" w:cs="Times New Roman"/>
          <w:color w:val="000000" w:themeColor="text1"/>
          <w:kern w:val="0"/>
          <w:sz w:val="32"/>
          <w:szCs w:val="32"/>
          <w:highlight w:val="none"/>
          <w:shd w:val="clear" w:color="auto" w:fill="FFFFFF"/>
          <w:lang w:val="en-US" w:eastAsia="zh-CN" w:bidi="ar"/>
          <w14:textFill>
            <w14:solidFill>
              <w14:schemeClr w14:val="tx1"/>
            </w14:solidFill>
          </w14:textFill>
        </w:rPr>
        <w:t>中期</w:t>
      </w: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 xml:space="preserve">考核。 </w:t>
      </w:r>
    </w:p>
    <w:p>
      <w:pPr>
        <w:widowControl/>
        <w:adjustRightInd w:val="0"/>
        <w:snapToGrid w:val="0"/>
        <w:spacing w:line="560" w:lineRule="exact"/>
        <w:ind w:firstLine="640" w:firstLineChars="200"/>
        <w:jc w:val="left"/>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lang w:bidi="ar"/>
          <w14:textFill>
            <w14:solidFill>
              <w14:schemeClr w14:val="tx1"/>
            </w14:solidFill>
          </w14:textFill>
        </w:rPr>
        <w:t>项目验收将通过现场验收、用户和第三方测评等方式，在真实应用场景下开展，并充分发挥最终用户作用，以成败论英雄。由于主观不努力等因素导致攻关失败的，将按照有关规定严肃追责，并依规纳入诚信记录。</w:t>
      </w:r>
    </w:p>
    <w:p>
      <w:pPr>
        <w:ind w:firstLine="640" w:firstLineChars="200"/>
        <w:rPr>
          <w:color w:val="000000" w:themeColor="text1"/>
          <w:highlight w:val="none"/>
          <w14:textFill>
            <w14:solidFill>
              <w14:schemeClr w14:val="tx1"/>
            </w14:solidFill>
          </w14:textFill>
        </w:rPr>
      </w:pP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项目成果</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需由</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广州国家</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现代农业产业</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科</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技</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创</w:t>
      </w:r>
      <w:r>
        <w:rPr>
          <w:rFonts w:hint="eastAsia"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新</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中心</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进行编码</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、登记、</w:t>
      </w:r>
      <w:r>
        <w:rPr>
          <w:rFonts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备案</w:t>
      </w:r>
      <w:r>
        <w:rPr>
          <w:rFonts w:hint="eastAsia" w:ascii="Times New Roman" w:hAnsi="Times New Roman" w:eastAsia="仿宋_GB2312" w:cs="Times New Roman"/>
          <w:color w:val="000000" w:themeColor="text1"/>
          <w:kern w:val="0"/>
          <w:sz w:val="32"/>
          <w:szCs w:val="32"/>
          <w:highlight w:val="none"/>
          <w:shd w:val="clear" w:color="auto" w:fill="FFFFFF"/>
          <w:lang w:eastAsia="zh-CN"/>
          <w14:textFill>
            <w14:solidFill>
              <w14:schemeClr w14:val="tx1"/>
            </w14:solidFill>
          </w14:textFill>
        </w:rPr>
        <w:t>和</w:t>
      </w:r>
      <w:r>
        <w:rPr>
          <w:rFonts w:hint="eastAsia" w:ascii="Times New Roman" w:hAnsi="Times New Roman" w:eastAsia="仿宋_GB2312" w:cs="Times New Roman"/>
          <w:color w:val="000000" w:themeColor="text1"/>
          <w:kern w:val="0"/>
          <w:sz w:val="32"/>
          <w:szCs w:val="32"/>
          <w:highlight w:val="none"/>
          <w:shd w:val="clear" w:color="auto" w:fill="FFFFFF"/>
          <w14:textFill>
            <w14:solidFill>
              <w14:schemeClr w14:val="tx1"/>
            </w14:solidFill>
          </w14:textFill>
        </w:rPr>
        <w:t>发布</w:t>
      </w:r>
      <w:r>
        <w:rPr>
          <w:rFonts w:ascii="Times New Roman" w:hAnsi="Times New Roman" w:eastAsia="仿宋_GB2312" w:cs="Times New Roman"/>
          <w:color w:val="000000" w:themeColor="text1"/>
          <w:sz w:val="32"/>
          <w:szCs w:val="32"/>
          <w:highlight w:val="none"/>
          <w:shd w:val="clear" w:color="auto" w:fill="FFFFFF"/>
          <w14:textFill>
            <w14:solidFill>
              <w14:schemeClr w14:val="tx1"/>
            </w14:solidFill>
          </w14:textFill>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BmNDlkMjE0YTg3ZmRlMTRiNmVkYmJkYTExZTg3YmMifQ=="/>
  </w:docVars>
  <w:rsids>
    <w:rsidRoot w:val="1BEE26AE"/>
    <w:rsid w:val="0057394B"/>
    <w:rsid w:val="007B1433"/>
    <w:rsid w:val="00C01B17"/>
    <w:rsid w:val="00DD6A9A"/>
    <w:rsid w:val="05546002"/>
    <w:rsid w:val="113F654B"/>
    <w:rsid w:val="1A5B13C6"/>
    <w:rsid w:val="1BEE26AE"/>
    <w:rsid w:val="212A281D"/>
    <w:rsid w:val="2460481E"/>
    <w:rsid w:val="28C83DB9"/>
    <w:rsid w:val="2C314B20"/>
    <w:rsid w:val="2FC75471"/>
    <w:rsid w:val="300D3E71"/>
    <w:rsid w:val="317059DD"/>
    <w:rsid w:val="34CA0C8D"/>
    <w:rsid w:val="391A05CA"/>
    <w:rsid w:val="3DEC6C17"/>
    <w:rsid w:val="406F58FD"/>
    <w:rsid w:val="426E1D35"/>
    <w:rsid w:val="451B19CB"/>
    <w:rsid w:val="48704067"/>
    <w:rsid w:val="4BC21787"/>
    <w:rsid w:val="4EA46DAC"/>
    <w:rsid w:val="5070632D"/>
    <w:rsid w:val="53E202A7"/>
    <w:rsid w:val="556935BA"/>
    <w:rsid w:val="5861057F"/>
    <w:rsid w:val="616A6CC7"/>
    <w:rsid w:val="644820C3"/>
    <w:rsid w:val="64D35E6B"/>
    <w:rsid w:val="6659611E"/>
    <w:rsid w:val="71BD38B8"/>
    <w:rsid w:val="78755208"/>
    <w:rsid w:val="7CB279BB"/>
    <w:rsid w:val="7CEF4BA2"/>
    <w:rsid w:val="7ECB66E5"/>
    <w:rsid w:val="7F6A55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unhideWhenUsed/>
    <w:qFormat/>
    <w:uiPriority w:val="99"/>
    <w:pPr>
      <w:ind w:left="420" w:leftChars="200"/>
    </w:pPr>
  </w:style>
  <w:style w:type="paragraph" w:styleId="4">
    <w:name w:val="Balloon Text"/>
    <w:basedOn w:val="1"/>
    <w:link w:val="9"/>
    <w:qFormat/>
    <w:uiPriority w:val="0"/>
    <w:rPr>
      <w:rFonts w:ascii="宋体" w:eastAsia="宋体"/>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报告正文"/>
    <w:basedOn w:val="1"/>
    <w:qFormat/>
    <w:uiPriority w:val="0"/>
    <w:pPr>
      <w:ind w:firstLine="640" w:firstLineChars="200"/>
    </w:pPr>
    <w:rPr>
      <w:rFonts w:ascii="Times New Roman" w:hAnsi="Times New Roman" w:eastAsia="仿宋"/>
      <w:sz w:val="32"/>
      <w:szCs w:val="28"/>
    </w:rPr>
  </w:style>
  <w:style w:type="character" w:customStyle="1" w:styleId="9">
    <w:name w:val="批注框文本 字符"/>
    <w:basedOn w:val="7"/>
    <w:link w:val="4"/>
    <w:qFormat/>
    <w:uiPriority w:val="0"/>
    <w:rPr>
      <w:rFonts w:ascii="宋体" w:eastAsia="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14323</Words>
  <Characters>14487</Characters>
  <Lines>9</Lines>
  <Paragraphs>2</Paragraphs>
  <TotalTime>12</TotalTime>
  <ScaleCrop>false</ScaleCrop>
  <LinksUpToDate>false</LinksUpToDate>
  <CharactersWithSpaces>14537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2022-04-24T09:10:00Z</dcterms:created>
  <dc:creator>belys</dc:creator>
  <cp:lastModifiedBy>Masquerade.</cp:lastModifiedBy>
  <dcterms:modified xsi:type="dcterms:W3CDTF">2022-07-04T07:05:39Z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EDED343732B7424D82011AA4F6DEC772</vt:lpwstr>
  </property>
  <property fmtid="{D5CDD505-2E9C-101B-9397-08002B2CF9AE}" pid="4" name="userName">
    <vt:lpwstr>胡玉伟</vt:lpwstr>
  </property>
  <property fmtid="{D5CDD505-2E9C-101B-9397-08002B2CF9AE}" pid="5" name="showFlag">
    <vt:bool>true</vt:bool>
  </property>
</Properties>
</file>